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3E781" w14:textId="77777777" w:rsidR="000372EC" w:rsidRDefault="001B07F9" w:rsidP="009C6A5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Notice</w:t>
      </w:r>
      <w:r w:rsidR="003E6334">
        <w:rPr>
          <w:rFonts w:ascii="Times New Roman" w:hAnsi="Times New Roman" w:cs="Times New Roman"/>
          <w:b/>
          <w:sz w:val="24"/>
          <w:szCs w:val="24"/>
        </w:rPr>
        <w:t xml:space="preserve"> </w:t>
      </w:r>
      <w:r w:rsidR="0098348E">
        <w:rPr>
          <w:rFonts w:ascii="Times New Roman" w:hAnsi="Times New Roman" w:cs="Times New Roman"/>
          <w:b/>
          <w:sz w:val="24"/>
          <w:szCs w:val="24"/>
        </w:rPr>
        <w:t xml:space="preserve">explicative </w:t>
      </w:r>
      <w:r>
        <w:rPr>
          <w:rFonts w:ascii="Times New Roman" w:hAnsi="Times New Roman" w:cs="Times New Roman"/>
          <w:b/>
          <w:sz w:val="24"/>
          <w:szCs w:val="24"/>
        </w:rPr>
        <w:t>relative au</w:t>
      </w:r>
      <w:r w:rsidR="00C20327">
        <w:rPr>
          <w:rFonts w:ascii="Times New Roman" w:hAnsi="Times New Roman" w:cs="Times New Roman"/>
          <w:b/>
          <w:sz w:val="24"/>
          <w:szCs w:val="24"/>
        </w:rPr>
        <w:t>x</w:t>
      </w:r>
      <w:r>
        <w:rPr>
          <w:rFonts w:ascii="Times New Roman" w:hAnsi="Times New Roman" w:cs="Times New Roman"/>
          <w:b/>
          <w:sz w:val="24"/>
          <w:szCs w:val="24"/>
        </w:rPr>
        <w:t xml:space="preserve"> r</w:t>
      </w:r>
      <w:r w:rsidR="0021449B" w:rsidRPr="009C6A59">
        <w:rPr>
          <w:rFonts w:ascii="Times New Roman" w:hAnsi="Times New Roman" w:cs="Times New Roman"/>
          <w:b/>
          <w:sz w:val="24"/>
          <w:szCs w:val="24"/>
        </w:rPr>
        <w:t>éférentiel</w:t>
      </w:r>
      <w:r w:rsidR="00C20327">
        <w:rPr>
          <w:rFonts w:ascii="Times New Roman" w:hAnsi="Times New Roman" w:cs="Times New Roman"/>
          <w:b/>
          <w:sz w:val="24"/>
          <w:szCs w:val="24"/>
        </w:rPr>
        <w:t>s</w:t>
      </w:r>
      <w:r w:rsidR="0021449B" w:rsidRPr="009C6A59">
        <w:rPr>
          <w:rFonts w:ascii="Times New Roman" w:hAnsi="Times New Roman" w:cs="Times New Roman"/>
          <w:b/>
          <w:sz w:val="24"/>
          <w:szCs w:val="24"/>
        </w:rPr>
        <w:t xml:space="preserve"> </w:t>
      </w:r>
      <w:r w:rsidR="00085FC2">
        <w:rPr>
          <w:rFonts w:ascii="Times New Roman" w:hAnsi="Times New Roman" w:cs="Times New Roman"/>
          <w:b/>
          <w:sz w:val="24"/>
          <w:szCs w:val="24"/>
        </w:rPr>
        <w:t>administratif</w:t>
      </w:r>
      <w:r w:rsidR="00C20327">
        <w:rPr>
          <w:rFonts w:ascii="Times New Roman" w:hAnsi="Times New Roman" w:cs="Times New Roman"/>
          <w:b/>
          <w:sz w:val="24"/>
          <w:szCs w:val="24"/>
        </w:rPr>
        <w:t>s</w:t>
      </w:r>
      <w:r w:rsidR="00085FC2">
        <w:rPr>
          <w:rFonts w:ascii="Times New Roman" w:hAnsi="Times New Roman" w:cs="Times New Roman"/>
          <w:b/>
          <w:sz w:val="24"/>
          <w:szCs w:val="24"/>
        </w:rPr>
        <w:t xml:space="preserve"> portant la codification </w:t>
      </w:r>
    </w:p>
    <w:p w14:paraId="34B4F750" w14:textId="77777777" w:rsidR="007362A9" w:rsidRDefault="009C6A59" w:rsidP="009C6A5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des</w:t>
      </w:r>
      <w:proofErr w:type="gramEnd"/>
      <w:r>
        <w:rPr>
          <w:rFonts w:ascii="Times New Roman" w:hAnsi="Times New Roman" w:cs="Times New Roman"/>
          <w:b/>
          <w:sz w:val="24"/>
          <w:szCs w:val="24"/>
        </w:rPr>
        <w:t xml:space="preserve"> </w:t>
      </w:r>
      <w:r w:rsidR="004C7645">
        <w:rPr>
          <w:rFonts w:ascii="Times New Roman" w:hAnsi="Times New Roman" w:cs="Times New Roman"/>
          <w:b/>
          <w:sz w:val="24"/>
          <w:szCs w:val="24"/>
        </w:rPr>
        <w:t>indications des spécialités pharmaceutiques</w:t>
      </w:r>
      <w:r>
        <w:rPr>
          <w:rFonts w:ascii="Times New Roman" w:hAnsi="Times New Roman" w:cs="Times New Roman"/>
          <w:b/>
          <w:sz w:val="24"/>
          <w:szCs w:val="24"/>
        </w:rPr>
        <w:t xml:space="preserve"> </w:t>
      </w:r>
      <w:r w:rsidR="004C7645">
        <w:rPr>
          <w:rFonts w:ascii="Times New Roman" w:hAnsi="Times New Roman" w:cs="Times New Roman"/>
          <w:b/>
          <w:sz w:val="24"/>
          <w:szCs w:val="24"/>
        </w:rPr>
        <w:t>inscrites sur</w:t>
      </w:r>
      <w:r>
        <w:rPr>
          <w:rFonts w:ascii="Times New Roman" w:hAnsi="Times New Roman" w:cs="Times New Roman"/>
          <w:b/>
          <w:sz w:val="24"/>
          <w:szCs w:val="24"/>
        </w:rPr>
        <w:t xml:space="preserve"> la </w:t>
      </w:r>
      <w:r w:rsidR="0021449B" w:rsidRPr="009C6A59">
        <w:rPr>
          <w:rFonts w:ascii="Times New Roman" w:hAnsi="Times New Roman" w:cs="Times New Roman"/>
          <w:b/>
          <w:sz w:val="24"/>
          <w:szCs w:val="24"/>
        </w:rPr>
        <w:t>liste en sus</w:t>
      </w:r>
      <w:r>
        <w:rPr>
          <w:rFonts w:ascii="Times New Roman" w:hAnsi="Times New Roman" w:cs="Times New Roman"/>
          <w:b/>
          <w:sz w:val="24"/>
          <w:szCs w:val="24"/>
        </w:rPr>
        <w:t xml:space="preserve"> </w:t>
      </w:r>
    </w:p>
    <w:p w14:paraId="1D807B6D" w14:textId="3EB89A6C" w:rsidR="00DA4FAE" w:rsidRPr="00DA4FAE" w:rsidRDefault="000372EC" w:rsidP="009C6A5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version</w:t>
      </w:r>
      <w:proofErr w:type="gramEnd"/>
      <w:r>
        <w:rPr>
          <w:rFonts w:ascii="Times New Roman" w:hAnsi="Times New Roman" w:cs="Times New Roman"/>
          <w:sz w:val="24"/>
          <w:szCs w:val="24"/>
        </w:rPr>
        <w:t xml:space="preserve"> </w:t>
      </w:r>
      <w:r w:rsidR="00282C64">
        <w:rPr>
          <w:rFonts w:ascii="Times New Roman" w:hAnsi="Times New Roman" w:cs="Times New Roman"/>
          <w:sz w:val="24"/>
          <w:szCs w:val="24"/>
        </w:rPr>
        <w:t xml:space="preserve">septembre </w:t>
      </w:r>
      <w:r w:rsidR="00F0208F">
        <w:rPr>
          <w:rFonts w:ascii="Times New Roman" w:hAnsi="Times New Roman" w:cs="Times New Roman"/>
          <w:sz w:val="24"/>
          <w:szCs w:val="24"/>
        </w:rPr>
        <w:t>2024</w:t>
      </w:r>
    </w:p>
    <w:p w14:paraId="650BC363" w14:textId="77777777" w:rsidR="0021449B" w:rsidRPr="009C6A59" w:rsidRDefault="0021449B" w:rsidP="009C6A59">
      <w:pPr>
        <w:spacing w:after="0" w:line="240" w:lineRule="auto"/>
        <w:jc w:val="both"/>
        <w:rPr>
          <w:rFonts w:ascii="Times New Roman" w:hAnsi="Times New Roman" w:cs="Times New Roman"/>
          <w:sz w:val="24"/>
          <w:szCs w:val="24"/>
        </w:rPr>
      </w:pPr>
    </w:p>
    <w:p w14:paraId="0F538F0D" w14:textId="77777777" w:rsidR="00263C67" w:rsidRPr="009C6A59" w:rsidRDefault="00C20327" w:rsidP="00E933FF">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Publication des</w:t>
      </w:r>
      <w:r w:rsidR="001B07F9">
        <w:rPr>
          <w:rFonts w:ascii="Times New Roman" w:hAnsi="Times New Roman" w:cs="Times New Roman"/>
          <w:sz w:val="24"/>
          <w:szCs w:val="24"/>
          <w:u w:val="single"/>
        </w:rPr>
        <w:t xml:space="preserve"> référentiel</w:t>
      </w:r>
      <w:r>
        <w:rPr>
          <w:rFonts w:ascii="Times New Roman" w:hAnsi="Times New Roman" w:cs="Times New Roman"/>
          <w:sz w:val="24"/>
          <w:szCs w:val="24"/>
          <w:u w:val="single"/>
        </w:rPr>
        <w:t>s</w:t>
      </w:r>
      <w:r w:rsidR="001B07F9">
        <w:rPr>
          <w:rFonts w:ascii="Times New Roman" w:hAnsi="Times New Roman" w:cs="Times New Roman"/>
          <w:sz w:val="24"/>
          <w:szCs w:val="24"/>
          <w:u w:val="single"/>
        </w:rPr>
        <w:t xml:space="preserve"> et mise à jour </w:t>
      </w:r>
    </w:p>
    <w:p w14:paraId="13A39049" w14:textId="77777777" w:rsidR="003B2BAD" w:rsidRPr="00BF51E9" w:rsidRDefault="001B07F9" w:rsidP="00BF51E9">
      <w:pPr>
        <w:pStyle w:val="Default"/>
        <w:jc w:val="both"/>
        <w:rPr>
          <w:rFonts w:ascii="Times New Roman" w:hAnsi="Times New Roman" w:cs="Times New Roman"/>
        </w:rPr>
      </w:pPr>
      <w:r>
        <w:rPr>
          <w:rFonts w:ascii="Times New Roman" w:hAnsi="Times New Roman" w:cs="Times New Roman"/>
        </w:rPr>
        <w:t>Le</w:t>
      </w:r>
      <w:r w:rsidR="00C20327">
        <w:rPr>
          <w:rFonts w:ascii="Times New Roman" w:hAnsi="Times New Roman" w:cs="Times New Roman"/>
        </w:rPr>
        <w:t>s</w:t>
      </w:r>
      <w:r w:rsidR="003E4950" w:rsidRPr="009C6A59">
        <w:rPr>
          <w:rFonts w:ascii="Times New Roman" w:hAnsi="Times New Roman" w:cs="Times New Roman"/>
        </w:rPr>
        <w:t xml:space="preserve"> référentiel</w:t>
      </w:r>
      <w:r w:rsidR="00C20327">
        <w:rPr>
          <w:rFonts w:ascii="Times New Roman" w:hAnsi="Times New Roman" w:cs="Times New Roman"/>
        </w:rPr>
        <w:t>s</w:t>
      </w:r>
      <w:r w:rsidR="003E4950" w:rsidRPr="009C6A59">
        <w:rPr>
          <w:rFonts w:ascii="Times New Roman" w:hAnsi="Times New Roman" w:cs="Times New Roman"/>
        </w:rPr>
        <w:t xml:space="preserve"> </w:t>
      </w:r>
      <w:r w:rsidR="0098348E">
        <w:rPr>
          <w:rFonts w:ascii="Times New Roman" w:hAnsi="Times New Roman" w:cs="Times New Roman"/>
        </w:rPr>
        <w:t xml:space="preserve">ainsi que la </w:t>
      </w:r>
      <w:r w:rsidR="003256EE">
        <w:rPr>
          <w:rFonts w:ascii="Times New Roman" w:hAnsi="Times New Roman" w:cs="Times New Roman"/>
        </w:rPr>
        <w:t>n</w:t>
      </w:r>
      <w:r w:rsidR="0098348E">
        <w:rPr>
          <w:rFonts w:ascii="Times New Roman" w:hAnsi="Times New Roman" w:cs="Times New Roman"/>
        </w:rPr>
        <w:t>ote d’information n°</w:t>
      </w:r>
      <w:r w:rsidR="0098348E" w:rsidRPr="00BF51E9">
        <w:rPr>
          <w:rFonts w:ascii="Times New Roman" w:hAnsi="Times New Roman" w:cs="Times New Roman"/>
        </w:rPr>
        <w:t xml:space="preserve"> DSS/1C/DGOS/PF2/2018/43 du 16 février 2018 relative à la mise en </w:t>
      </w:r>
      <w:r w:rsidR="00085FC2" w:rsidRPr="00BF51E9">
        <w:rPr>
          <w:rFonts w:ascii="Times New Roman" w:hAnsi="Times New Roman" w:cs="Times New Roman"/>
        </w:rPr>
        <w:t>œuvre</w:t>
      </w:r>
      <w:r w:rsidR="0098348E" w:rsidRPr="00BF51E9">
        <w:rPr>
          <w:rFonts w:ascii="Times New Roman" w:hAnsi="Times New Roman" w:cs="Times New Roman"/>
        </w:rPr>
        <w:t xml:space="preserve"> du référentiel administratif portant la codification de l’indication dans laquelle un médicament de la liste en sus est prescrit</w:t>
      </w:r>
      <w:r w:rsidR="0098348E">
        <w:rPr>
          <w:b/>
          <w:bCs/>
        </w:rPr>
        <w:t xml:space="preserve"> </w:t>
      </w:r>
      <w:r w:rsidR="0098348E">
        <w:rPr>
          <w:rFonts w:ascii="Times New Roman" w:hAnsi="Times New Roman" w:cs="Times New Roman"/>
        </w:rPr>
        <w:t>sont publiés</w:t>
      </w:r>
      <w:r w:rsidR="0098348E" w:rsidRPr="009C6A59">
        <w:rPr>
          <w:rFonts w:ascii="Times New Roman" w:hAnsi="Times New Roman" w:cs="Times New Roman"/>
        </w:rPr>
        <w:t xml:space="preserve"> sur</w:t>
      </w:r>
      <w:r w:rsidR="003E4950" w:rsidRPr="009C6A59">
        <w:rPr>
          <w:rFonts w:ascii="Times New Roman" w:hAnsi="Times New Roman" w:cs="Times New Roman"/>
        </w:rPr>
        <w:t xml:space="preserve"> le site du ministère </w:t>
      </w:r>
      <w:r w:rsidR="003E6334">
        <w:rPr>
          <w:rFonts w:ascii="Times New Roman" w:hAnsi="Times New Roman" w:cs="Times New Roman"/>
        </w:rPr>
        <w:t>des solidarités et de la santé</w:t>
      </w:r>
      <w:r w:rsidR="003B2BAD">
        <w:rPr>
          <w:rFonts w:ascii="Times New Roman" w:hAnsi="Times New Roman" w:cs="Times New Roman"/>
        </w:rPr>
        <w:t xml:space="preserve"> : </w:t>
      </w:r>
      <w:hyperlink r:id="rId8" w:history="1">
        <w:r w:rsidR="003B2BAD" w:rsidRPr="00945FBA">
          <w:rPr>
            <w:rStyle w:val="Lienhypertexte"/>
            <w:rFonts w:ascii="Times New Roman" w:hAnsi="Times New Roman" w:cs="Times New Roman"/>
          </w:rPr>
          <w:t>http://solidarites-sante.gouv.fr/soins-et-maladies/autres-produits-de-sante/dispositifs-medicaux/la-liste-en-sus/article/referentiel-des-indications-des-specialites-pharmaceutiques-inscrites-sur-la</w:t>
        </w:r>
      </w:hyperlink>
      <w:r w:rsidR="003B2BAD">
        <w:rPr>
          <w:rFonts w:ascii="Times New Roman" w:hAnsi="Times New Roman" w:cs="Times New Roman"/>
        </w:rPr>
        <w:t>.</w:t>
      </w:r>
      <w:r w:rsidR="0098348E">
        <w:rPr>
          <w:rFonts w:ascii="Times New Roman" w:hAnsi="Times New Roman" w:cs="Times New Roman"/>
        </w:rPr>
        <w:t xml:space="preserve"> </w:t>
      </w:r>
      <w:r w:rsidR="003E6334" w:rsidRPr="00BF51E9">
        <w:rPr>
          <w:rFonts w:ascii="Times New Roman" w:hAnsi="Times New Roman" w:cs="Times New Roman"/>
          <w:color w:val="auto"/>
        </w:rPr>
        <w:t xml:space="preserve">Cette publication est reprise sur le site de l’ATIH. </w:t>
      </w:r>
    </w:p>
    <w:p w14:paraId="7BC063C6" w14:textId="0C1A64E1" w:rsidR="004636EF" w:rsidRDefault="0098348E" w:rsidP="00BF51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w:t>
      </w:r>
      <w:r w:rsidR="00C20327">
        <w:rPr>
          <w:rFonts w:ascii="Times New Roman" w:hAnsi="Times New Roman" w:cs="Times New Roman"/>
          <w:sz w:val="24"/>
          <w:szCs w:val="24"/>
        </w:rPr>
        <w:t>s</w:t>
      </w:r>
      <w:r>
        <w:rPr>
          <w:rFonts w:ascii="Times New Roman" w:hAnsi="Times New Roman" w:cs="Times New Roman"/>
          <w:sz w:val="24"/>
          <w:szCs w:val="24"/>
        </w:rPr>
        <w:t xml:space="preserve"> référentiel</w:t>
      </w:r>
      <w:r w:rsidR="00C20327">
        <w:rPr>
          <w:rFonts w:ascii="Times New Roman" w:hAnsi="Times New Roman" w:cs="Times New Roman"/>
          <w:sz w:val="24"/>
          <w:szCs w:val="24"/>
        </w:rPr>
        <w:t>s sont mis à jour mensuellement</w:t>
      </w:r>
      <w:r w:rsidR="001B07F9">
        <w:rPr>
          <w:rFonts w:ascii="Times New Roman" w:hAnsi="Times New Roman" w:cs="Times New Roman"/>
          <w:sz w:val="24"/>
          <w:szCs w:val="24"/>
        </w:rPr>
        <w:t xml:space="preserve"> </w:t>
      </w:r>
      <w:r w:rsidR="003E4950" w:rsidRPr="009C6A59">
        <w:rPr>
          <w:rFonts w:ascii="Times New Roman" w:hAnsi="Times New Roman" w:cs="Times New Roman"/>
          <w:sz w:val="24"/>
          <w:szCs w:val="24"/>
        </w:rPr>
        <w:t xml:space="preserve">en reprenant les informations publiées au Journal Officiel (JO). </w:t>
      </w:r>
    </w:p>
    <w:p w14:paraId="108664E7" w14:textId="77777777" w:rsidR="004636EF" w:rsidRDefault="004636EF" w:rsidP="00BF51E9">
      <w:pPr>
        <w:spacing w:after="0" w:line="240" w:lineRule="auto"/>
        <w:jc w:val="both"/>
        <w:rPr>
          <w:rFonts w:ascii="Times New Roman" w:hAnsi="Times New Roman" w:cs="Times New Roman"/>
          <w:sz w:val="24"/>
          <w:szCs w:val="24"/>
        </w:rPr>
      </w:pPr>
    </w:p>
    <w:p w14:paraId="5EE163F6" w14:textId="241C9773" w:rsidR="004636EF" w:rsidRPr="00BC3E24" w:rsidRDefault="004636EF" w:rsidP="00BF51E9">
      <w:pPr>
        <w:spacing w:after="0" w:line="240" w:lineRule="auto"/>
        <w:jc w:val="both"/>
        <w:rPr>
          <w:rFonts w:ascii="Times New Roman" w:hAnsi="Times New Roman" w:cs="Times New Roman"/>
          <w:sz w:val="24"/>
          <w:szCs w:val="24"/>
          <w:u w:val="single"/>
        </w:rPr>
      </w:pPr>
      <w:r w:rsidRPr="00BC3E24">
        <w:rPr>
          <w:rFonts w:ascii="Times New Roman" w:hAnsi="Times New Roman" w:cs="Times New Roman"/>
          <w:sz w:val="24"/>
          <w:szCs w:val="24"/>
          <w:u w:val="single"/>
        </w:rPr>
        <w:t>Modalité de codage :</w:t>
      </w:r>
    </w:p>
    <w:p w14:paraId="77024BDE" w14:textId="5D2C3122" w:rsidR="004636EF" w:rsidRDefault="004636EF" w:rsidP="00BF51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Pour information, </w:t>
      </w:r>
      <w:r w:rsidRPr="004636EF">
        <w:rPr>
          <w:rFonts w:ascii="Times New Roman" w:hAnsi="Times New Roman" w:cs="Times New Roman"/>
          <w:sz w:val="24"/>
          <w:szCs w:val="24"/>
        </w:rPr>
        <w:t xml:space="preserve">les </w:t>
      </w:r>
      <w:r w:rsidR="00BC3E24">
        <w:rPr>
          <w:rFonts w:ascii="Times New Roman" w:hAnsi="Times New Roman" w:cs="Times New Roman"/>
          <w:sz w:val="24"/>
          <w:szCs w:val="24"/>
        </w:rPr>
        <w:t>spécialités inscrites sur la liste en sus</w:t>
      </w:r>
      <w:r w:rsidRPr="004636EF">
        <w:rPr>
          <w:rFonts w:ascii="Times New Roman" w:hAnsi="Times New Roman" w:cs="Times New Roman"/>
          <w:sz w:val="24"/>
          <w:szCs w:val="24"/>
        </w:rPr>
        <w:t xml:space="preserve"> MCO sont réputées inscrites sur la </w:t>
      </w:r>
      <w:r w:rsidR="00BC3E24">
        <w:rPr>
          <w:rFonts w:ascii="Times New Roman" w:hAnsi="Times New Roman" w:cs="Times New Roman"/>
          <w:sz w:val="24"/>
          <w:szCs w:val="24"/>
        </w:rPr>
        <w:t>liste en sus</w:t>
      </w:r>
      <w:r w:rsidRPr="004636EF">
        <w:rPr>
          <w:rFonts w:ascii="Times New Roman" w:hAnsi="Times New Roman" w:cs="Times New Roman"/>
          <w:sz w:val="24"/>
          <w:szCs w:val="24"/>
        </w:rPr>
        <w:t xml:space="preserve"> SMR, comme décrit </w:t>
      </w:r>
      <w:r w:rsidR="00BC3E24">
        <w:rPr>
          <w:rFonts w:ascii="Times New Roman" w:hAnsi="Times New Roman" w:cs="Times New Roman"/>
          <w:sz w:val="24"/>
          <w:szCs w:val="24"/>
        </w:rPr>
        <w:t>au VI de</w:t>
      </w:r>
      <w:r w:rsidRPr="004636EF">
        <w:rPr>
          <w:rFonts w:ascii="Times New Roman" w:hAnsi="Times New Roman" w:cs="Times New Roman"/>
          <w:sz w:val="24"/>
          <w:szCs w:val="24"/>
        </w:rPr>
        <w:t xml:space="preserve"> l'article R.162-34-13</w:t>
      </w:r>
      <w:r w:rsidR="00BC3E24">
        <w:rPr>
          <w:rFonts w:ascii="Times New Roman" w:hAnsi="Times New Roman" w:cs="Times New Roman"/>
          <w:sz w:val="24"/>
          <w:szCs w:val="24"/>
        </w:rPr>
        <w:t xml:space="preserve"> du code de la sécurité sociale.</w:t>
      </w:r>
    </w:p>
    <w:p w14:paraId="3A1F29FD" w14:textId="32B35625" w:rsidR="004636EF" w:rsidRPr="009C6A59" w:rsidRDefault="004636EF" w:rsidP="00BF51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Les remontées d’administration doivent se faire selon les modalités décrites dans </w:t>
      </w:r>
      <w:r w:rsidR="00BC3E24">
        <w:rPr>
          <w:rFonts w:ascii="Times New Roman" w:hAnsi="Times New Roman" w:cs="Times New Roman"/>
          <w:sz w:val="24"/>
          <w:szCs w:val="24"/>
        </w:rPr>
        <w:t xml:space="preserve">le </w:t>
      </w:r>
      <w:r>
        <w:rPr>
          <w:rFonts w:ascii="Times New Roman" w:hAnsi="Times New Roman" w:cs="Times New Roman"/>
          <w:sz w:val="24"/>
          <w:szCs w:val="24"/>
        </w:rPr>
        <w:t>guide méthodologique SMR, actualisé chaque année et disponible sur le site de l’ATIH.</w:t>
      </w:r>
      <w:r>
        <w:rPr>
          <w:rStyle w:val="Appelnotedebasdep"/>
          <w:rFonts w:ascii="Times New Roman" w:hAnsi="Times New Roman" w:cs="Times New Roman"/>
          <w:sz w:val="24"/>
          <w:szCs w:val="24"/>
        </w:rPr>
        <w:footnoteReference w:id="1"/>
      </w:r>
      <w:r>
        <w:rPr>
          <w:rFonts w:ascii="Times New Roman" w:hAnsi="Times New Roman" w:cs="Times New Roman"/>
          <w:sz w:val="24"/>
          <w:szCs w:val="24"/>
        </w:rPr>
        <w:t xml:space="preserve">  </w:t>
      </w:r>
    </w:p>
    <w:p w14:paraId="12B443EE" w14:textId="77777777" w:rsidR="0021449B" w:rsidRPr="009C6A59" w:rsidRDefault="0021449B" w:rsidP="00BF51E9">
      <w:pPr>
        <w:spacing w:after="0" w:line="240" w:lineRule="auto"/>
        <w:jc w:val="both"/>
        <w:rPr>
          <w:rFonts w:ascii="Times New Roman" w:hAnsi="Times New Roman" w:cs="Times New Roman"/>
          <w:sz w:val="24"/>
          <w:szCs w:val="24"/>
        </w:rPr>
      </w:pPr>
    </w:p>
    <w:p w14:paraId="289EC978" w14:textId="77777777" w:rsidR="001B07F9" w:rsidRPr="001B07F9" w:rsidRDefault="001B07F9" w:rsidP="00BF51E9">
      <w:pPr>
        <w:spacing w:after="0" w:line="240" w:lineRule="auto"/>
        <w:jc w:val="both"/>
        <w:rPr>
          <w:rFonts w:ascii="Times New Roman" w:hAnsi="Times New Roman" w:cs="Times New Roman"/>
          <w:sz w:val="24"/>
          <w:szCs w:val="24"/>
          <w:u w:val="single"/>
        </w:rPr>
      </w:pPr>
      <w:r w:rsidRPr="001B07F9">
        <w:rPr>
          <w:rFonts w:ascii="Times New Roman" w:hAnsi="Times New Roman" w:cs="Times New Roman"/>
          <w:sz w:val="24"/>
          <w:szCs w:val="24"/>
          <w:u w:val="single"/>
        </w:rPr>
        <w:t xml:space="preserve">Contenu </w:t>
      </w:r>
    </w:p>
    <w:p w14:paraId="6EA3C96C" w14:textId="60D2488C" w:rsidR="001B07F9" w:rsidRPr="009C6A59" w:rsidRDefault="001B07F9" w:rsidP="00BF51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w:t>
      </w:r>
      <w:r w:rsidR="00C20327">
        <w:rPr>
          <w:rFonts w:ascii="Times New Roman" w:hAnsi="Times New Roman" w:cs="Times New Roman"/>
          <w:sz w:val="24"/>
          <w:szCs w:val="24"/>
        </w:rPr>
        <w:t>s</w:t>
      </w:r>
      <w:r>
        <w:rPr>
          <w:rFonts w:ascii="Times New Roman" w:hAnsi="Times New Roman" w:cs="Times New Roman"/>
          <w:sz w:val="24"/>
          <w:szCs w:val="24"/>
        </w:rPr>
        <w:t xml:space="preserve"> référentiel</w:t>
      </w:r>
      <w:r w:rsidR="00C20327">
        <w:rPr>
          <w:rFonts w:ascii="Times New Roman" w:hAnsi="Times New Roman" w:cs="Times New Roman"/>
          <w:sz w:val="24"/>
          <w:szCs w:val="24"/>
        </w:rPr>
        <w:t>s</w:t>
      </w:r>
      <w:r>
        <w:rPr>
          <w:rFonts w:ascii="Times New Roman" w:hAnsi="Times New Roman" w:cs="Times New Roman"/>
          <w:sz w:val="24"/>
          <w:szCs w:val="24"/>
        </w:rPr>
        <w:t xml:space="preserve"> </w:t>
      </w:r>
      <w:r w:rsidR="00C20327">
        <w:rPr>
          <w:rFonts w:ascii="Times New Roman" w:hAnsi="Times New Roman" w:cs="Times New Roman"/>
          <w:sz w:val="24"/>
          <w:szCs w:val="24"/>
        </w:rPr>
        <w:t>comprennent</w:t>
      </w:r>
      <w:r w:rsidRPr="009C6A59">
        <w:rPr>
          <w:rFonts w:ascii="Times New Roman" w:hAnsi="Times New Roman" w:cs="Times New Roman"/>
          <w:sz w:val="24"/>
          <w:szCs w:val="24"/>
        </w:rPr>
        <w:t xml:space="preserve"> un code « </w:t>
      </w:r>
      <w:r>
        <w:rPr>
          <w:rFonts w:ascii="Times New Roman" w:hAnsi="Times New Roman" w:cs="Times New Roman"/>
          <w:sz w:val="24"/>
          <w:szCs w:val="24"/>
        </w:rPr>
        <w:t>indication</w:t>
      </w:r>
      <w:r w:rsidRPr="009C6A59">
        <w:rPr>
          <w:rFonts w:ascii="Times New Roman" w:hAnsi="Times New Roman" w:cs="Times New Roman"/>
          <w:sz w:val="24"/>
          <w:szCs w:val="24"/>
        </w:rPr>
        <w:t xml:space="preserve"> », </w:t>
      </w:r>
      <w:r w:rsidR="00FE6E90">
        <w:rPr>
          <w:rFonts w:ascii="Times New Roman" w:hAnsi="Times New Roman" w:cs="Times New Roman"/>
          <w:sz w:val="24"/>
          <w:szCs w:val="24"/>
        </w:rPr>
        <w:t xml:space="preserve">le nom du laboratoire, </w:t>
      </w:r>
      <w:r w:rsidRPr="009C6A59">
        <w:rPr>
          <w:rFonts w:ascii="Times New Roman" w:hAnsi="Times New Roman" w:cs="Times New Roman"/>
          <w:sz w:val="24"/>
          <w:szCs w:val="24"/>
        </w:rPr>
        <w:t>l</w:t>
      </w:r>
      <w:r w:rsidR="00FE6E90">
        <w:rPr>
          <w:rFonts w:ascii="Times New Roman" w:hAnsi="Times New Roman" w:cs="Times New Roman"/>
          <w:sz w:val="24"/>
          <w:szCs w:val="24"/>
        </w:rPr>
        <w:t>a</w:t>
      </w:r>
      <w:r w:rsidRPr="009C6A59">
        <w:rPr>
          <w:rFonts w:ascii="Times New Roman" w:hAnsi="Times New Roman" w:cs="Times New Roman"/>
          <w:sz w:val="24"/>
          <w:szCs w:val="24"/>
        </w:rPr>
        <w:t xml:space="preserve"> </w:t>
      </w:r>
      <w:r w:rsidR="00FE6E90" w:rsidRPr="009C6A59">
        <w:rPr>
          <w:rFonts w:ascii="Times New Roman" w:hAnsi="Times New Roman" w:cs="Times New Roman"/>
          <w:sz w:val="24"/>
          <w:szCs w:val="24"/>
        </w:rPr>
        <w:t xml:space="preserve">DCI </w:t>
      </w:r>
      <w:r w:rsidRPr="009C6A59">
        <w:rPr>
          <w:rFonts w:ascii="Times New Roman" w:hAnsi="Times New Roman" w:cs="Times New Roman"/>
          <w:sz w:val="24"/>
          <w:szCs w:val="24"/>
        </w:rPr>
        <w:t>de la spécialité, s</w:t>
      </w:r>
      <w:r w:rsidR="00FE6E90">
        <w:rPr>
          <w:rFonts w:ascii="Times New Roman" w:hAnsi="Times New Roman" w:cs="Times New Roman"/>
          <w:sz w:val="24"/>
          <w:szCs w:val="24"/>
        </w:rPr>
        <w:t xml:space="preserve">on </w:t>
      </w:r>
      <w:r w:rsidR="00FE6E90" w:rsidRPr="009C6A59">
        <w:rPr>
          <w:rFonts w:ascii="Times New Roman" w:hAnsi="Times New Roman" w:cs="Times New Roman"/>
          <w:sz w:val="24"/>
          <w:szCs w:val="24"/>
        </w:rPr>
        <w:t xml:space="preserve">nom </w:t>
      </w:r>
      <w:r w:rsidR="00FE6E90">
        <w:rPr>
          <w:rFonts w:ascii="Times New Roman" w:hAnsi="Times New Roman" w:cs="Times New Roman"/>
          <w:sz w:val="24"/>
          <w:szCs w:val="24"/>
        </w:rPr>
        <w:t>commercial</w:t>
      </w:r>
      <w:r w:rsidRPr="009C6A59">
        <w:rPr>
          <w:rFonts w:ascii="Times New Roman" w:hAnsi="Times New Roman" w:cs="Times New Roman"/>
          <w:sz w:val="24"/>
          <w:szCs w:val="24"/>
        </w:rPr>
        <w:t>, l’indication inscrite au JO, l</w:t>
      </w:r>
      <w:r w:rsidR="004A3270">
        <w:rPr>
          <w:rFonts w:ascii="Times New Roman" w:hAnsi="Times New Roman" w:cs="Times New Roman"/>
          <w:sz w:val="24"/>
          <w:szCs w:val="24"/>
        </w:rPr>
        <w:t xml:space="preserve">a date de début de prise en charge sur </w:t>
      </w:r>
      <w:r w:rsidRPr="009C6A59">
        <w:rPr>
          <w:rFonts w:ascii="Times New Roman" w:hAnsi="Times New Roman" w:cs="Times New Roman"/>
          <w:sz w:val="24"/>
          <w:szCs w:val="24"/>
        </w:rPr>
        <w:t>la liste en sus</w:t>
      </w:r>
      <w:r w:rsidR="00C20327">
        <w:rPr>
          <w:rFonts w:ascii="Times New Roman" w:hAnsi="Times New Roman" w:cs="Times New Roman"/>
          <w:sz w:val="24"/>
          <w:szCs w:val="24"/>
        </w:rPr>
        <w:t xml:space="preserve"> (MCO/SMR)</w:t>
      </w:r>
      <w:r w:rsidRPr="009C6A59">
        <w:rPr>
          <w:rFonts w:ascii="Times New Roman" w:hAnsi="Times New Roman" w:cs="Times New Roman"/>
          <w:sz w:val="24"/>
          <w:szCs w:val="24"/>
        </w:rPr>
        <w:t xml:space="preserve">, </w:t>
      </w:r>
      <w:r w:rsidR="00BC3E24">
        <w:rPr>
          <w:rFonts w:ascii="Times New Roman" w:hAnsi="Times New Roman" w:cs="Times New Roman"/>
          <w:sz w:val="24"/>
          <w:szCs w:val="24"/>
        </w:rPr>
        <w:t xml:space="preserve">le cas échéant </w:t>
      </w:r>
      <w:r w:rsidRPr="009C6A59">
        <w:rPr>
          <w:rFonts w:ascii="Times New Roman" w:hAnsi="Times New Roman" w:cs="Times New Roman"/>
          <w:sz w:val="24"/>
          <w:szCs w:val="24"/>
        </w:rPr>
        <w:t>l</w:t>
      </w:r>
      <w:r w:rsidR="004A3270">
        <w:rPr>
          <w:rFonts w:ascii="Times New Roman" w:hAnsi="Times New Roman" w:cs="Times New Roman"/>
          <w:sz w:val="24"/>
          <w:szCs w:val="24"/>
        </w:rPr>
        <w:t xml:space="preserve">a date de fin de prise en charge </w:t>
      </w:r>
      <w:r w:rsidRPr="009C6A59">
        <w:rPr>
          <w:rFonts w:ascii="Times New Roman" w:hAnsi="Times New Roman" w:cs="Times New Roman"/>
          <w:sz w:val="24"/>
          <w:szCs w:val="24"/>
        </w:rPr>
        <w:t>de cette liste</w:t>
      </w:r>
      <w:r w:rsidR="00FE6E90">
        <w:rPr>
          <w:rFonts w:ascii="Times New Roman" w:hAnsi="Times New Roman" w:cs="Times New Roman"/>
          <w:sz w:val="24"/>
          <w:szCs w:val="24"/>
        </w:rPr>
        <w:t>, la classe thérapeutique</w:t>
      </w:r>
      <w:r w:rsidR="000203C9">
        <w:rPr>
          <w:rFonts w:ascii="Times New Roman" w:hAnsi="Times New Roman" w:cs="Times New Roman"/>
          <w:sz w:val="24"/>
          <w:szCs w:val="24"/>
        </w:rPr>
        <w:t>,</w:t>
      </w:r>
      <w:r w:rsidRPr="009C6A59">
        <w:rPr>
          <w:rFonts w:ascii="Times New Roman" w:hAnsi="Times New Roman" w:cs="Times New Roman"/>
          <w:sz w:val="24"/>
          <w:szCs w:val="24"/>
        </w:rPr>
        <w:t xml:space="preserve"> </w:t>
      </w:r>
      <w:r w:rsidR="00BC3E24">
        <w:rPr>
          <w:rFonts w:ascii="Times New Roman" w:hAnsi="Times New Roman" w:cs="Times New Roman"/>
          <w:sz w:val="24"/>
          <w:szCs w:val="24"/>
        </w:rPr>
        <w:t xml:space="preserve">son statut (générique, </w:t>
      </w:r>
      <w:r w:rsidRPr="009C6A59">
        <w:rPr>
          <w:rFonts w:ascii="Times New Roman" w:hAnsi="Times New Roman" w:cs="Times New Roman"/>
          <w:sz w:val="24"/>
          <w:szCs w:val="24"/>
        </w:rPr>
        <w:t xml:space="preserve">biosimilaire ou </w:t>
      </w:r>
      <w:r w:rsidR="003256EE">
        <w:rPr>
          <w:rFonts w:ascii="Times New Roman" w:hAnsi="Times New Roman" w:cs="Times New Roman"/>
          <w:sz w:val="24"/>
          <w:szCs w:val="24"/>
        </w:rPr>
        <w:t xml:space="preserve">médicament princeps ou </w:t>
      </w:r>
      <w:r w:rsidR="00085FC2">
        <w:rPr>
          <w:rFonts w:ascii="Times New Roman" w:hAnsi="Times New Roman" w:cs="Times New Roman"/>
          <w:sz w:val="24"/>
          <w:szCs w:val="24"/>
        </w:rPr>
        <w:t>biologique de référence</w:t>
      </w:r>
      <w:r w:rsidR="00BC3E24">
        <w:rPr>
          <w:rFonts w:ascii="Times New Roman" w:hAnsi="Times New Roman" w:cs="Times New Roman"/>
          <w:sz w:val="24"/>
          <w:szCs w:val="24"/>
        </w:rPr>
        <w:t>)</w:t>
      </w:r>
      <w:r w:rsidR="000203C9">
        <w:rPr>
          <w:rFonts w:ascii="Times New Roman" w:hAnsi="Times New Roman" w:cs="Times New Roman"/>
          <w:sz w:val="24"/>
          <w:szCs w:val="24"/>
        </w:rPr>
        <w:t xml:space="preserve"> et le mois/année de la dernière mise à jour pour chacune des lignes indications</w:t>
      </w:r>
      <w:r w:rsidRPr="009C6A59">
        <w:rPr>
          <w:rFonts w:ascii="Times New Roman" w:hAnsi="Times New Roman" w:cs="Times New Roman"/>
          <w:sz w:val="24"/>
          <w:szCs w:val="24"/>
        </w:rPr>
        <w:t>.</w:t>
      </w:r>
    </w:p>
    <w:p w14:paraId="1C73235B" w14:textId="77777777" w:rsidR="00371B1A" w:rsidRPr="001B07F9" w:rsidRDefault="00371B1A" w:rsidP="00BF51E9">
      <w:pPr>
        <w:spacing w:after="0" w:line="240" w:lineRule="auto"/>
        <w:jc w:val="both"/>
        <w:rPr>
          <w:rFonts w:ascii="Times New Roman" w:hAnsi="Times New Roman" w:cs="Times New Roman"/>
          <w:b/>
          <w:sz w:val="26"/>
          <w:szCs w:val="26"/>
          <w:u w:val="single"/>
        </w:rPr>
      </w:pPr>
    </w:p>
    <w:p w14:paraId="08201BED" w14:textId="29BC493A" w:rsidR="00371B1A" w:rsidRPr="00371B1A" w:rsidRDefault="00371B1A" w:rsidP="00BF51E9">
      <w:pPr>
        <w:spacing w:after="0" w:line="240" w:lineRule="auto"/>
        <w:jc w:val="both"/>
        <w:rPr>
          <w:rFonts w:ascii="Times New Roman" w:hAnsi="Times New Roman" w:cs="Times New Roman"/>
          <w:b/>
          <w:sz w:val="24"/>
          <w:szCs w:val="24"/>
        </w:rPr>
      </w:pPr>
      <w:r w:rsidRPr="00371B1A">
        <w:rPr>
          <w:rFonts w:ascii="Times New Roman" w:hAnsi="Times New Roman" w:cs="Times New Roman"/>
          <w:b/>
          <w:sz w:val="24"/>
          <w:szCs w:val="24"/>
        </w:rPr>
        <w:t xml:space="preserve">1/ Code </w:t>
      </w:r>
      <w:r w:rsidR="00BC3E24">
        <w:rPr>
          <w:rFonts w:ascii="Times New Roman" w:hAnsi="Times New Roman" w:cs="Times New Roman"/>
          <w:b/>
          <w:sz w:val="24"/>
          <w:szCs w:val="24"/>
        </w:rPr>
        <w:t xml:space="preserve">indication </w:t>
      </w:r>
      <w:r w:rsidRPr="00371B1A">
        <w:rPr>
          <w:rFonts w:ascii="Times New Roman" w:hAnsi="Times New Roman" w:cs="Times New Roman"/>
          <w:b/>
          <w:sz w:val="24"/>
          <w:szCs w:val="24"/>
        </w:rPr>
        <w:t>LES</w:t>
      </w:r>
    </w:p>
    <w:p w14:paraId="52DBF99C" w14:textId="77777777" w:rsidR="00371B1A" w:rsidRDefault="003E6334" w:rsidP="00BF51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Chaque code</w:t>
      </w:r>
      <w:r w:rsidR="00371B1A">
        <w:rPr>
          <w:rFonts w:ascii="Times New Roman" w:hAnsi="Times New Roman" w:cs="Times New Roman"/>
          <w:sz w:val="24"/>
          <w:szCs w:val="24"/>
        </w:rPr>
        <w:t xml:space="preserve"> </w:t>
      </w:r>
      <w:r>
        <w:rPr>
          <w:rFonts w:ascii="Times New Roman" w:hAnsi="Times New Roman" w:cs="Times New Roman"/>
          <w:sz w:val="24"/>
          <w:szCs w:val="24"/>
        </w:rPr>
        <w:t>es</w:t>
      </w:r>
      <w:r w:rsidR="00371B1A">
        <w:rPr>
          <w:rFonts w:ascii="Times New Roman" w:hAnsi="Times New Roman" w:cs="Times New Roman"/>
          <w:sz w:val="24"/>
          <w:szCs w:val="24"/>
        </w:rPr>
        <w:t xml:space="preserve">t </w:t>
      </w:r>
      <w:r>
        <w:rPr>
          <w:rFonts w:ascii="Times New Roman" w:hAnsi="Times New Roman" w:cs="Times New Roman"/>
          <w:sz w:val="24"/>
          <w:szCs w:val="24"/>
        </w:rPr>
        <w:t>formé</w:t>
      </w:r>
      <w:r w:rsidR="00371B1A">
        <w:rPr>
          <w:rFonts w:ascii="Times New Roman" w:hAnsi="Times New Roman" w:cs="Times New Roman"/>
          <w:sz w:val="24"/>
          <w:szCs w:val="24"/>
        </w:rPr>
        <w:t xml:space="preserve"> d</w:t>
      </w:r>
      <w:r>
        <w:rPr>
          <w:rFonts w:ascii="Times New Roman" w:hAnsi="Times New Roman" w:cs="Times New Roman"/>
          <w:sz w:val="24"/>
          <w:szCs w:val="24"/>
        </w:rPr>
        <w:t>e la</w:t>
      </w:r>
      <w:r w:rsidR="00371B1A">
        <w:rPr>
          <w:rFonts w:ascii="Times New Roman" w:hAnsi="Times New Roman" w:cs="Times New Roman"/>
          <w:sz w:val="24"/>
          <w:szCs w:val="24"/>
        </w:rPr>
        <w:t xml:space="preserve"> lettre « I » </w:t>
      </w:r>
      <w:r w:rsidR="00C20327">
        <w:rPr>
          <w:rFonts w:ascii="Times New Roman" w:hAnsi="Times New Roman" w:cs="Times New Roman"/>
          <w:sz w:val="24"/>
          <w:szCs w:val="24"/>
        </w:rPr>
        <w:t>pour la liste en sus MCO et de la lettre « S » pour la liste en sus SMR, suivi</w:t>
      </w:r>
      <w:r w:rsidR="00371B1A">
        <w:rPr>
          <w:rFonts w:ascii="Times New Roman" w:hAnsi="Times New Roman" w:cs="Times New Roman"/>
          <w:sz w:val="24"/>
          <w:szCs w:val="24"/>
        </w:rPr>
        <w:t xml:space="preserve"> de six chiffres. Chaque ligne possède son propre code</w:t>
      </w:r>
      <w:r w:rsidR="000372EC">
        <w:rPr>
          <w:rFonts w:ascii="Times New Roman" w:hAnsi="Times New Roman" w:cs="Times New Roman"/>
          <w:sz w:val="24"/>
          <w:szCs w:val="24"/>
        </w:rPr>
        <w:t>. Pour les médicaments princeps ou biologiques de référence, le code</w:t>
      </w:r>
      <w:r w:rsidR="00FE6E90">
        <w:rPr>
          <w:rFonts w:ascii="Times New Roman" w:hAnsi="Times New Roman" w:cs="Times New Roman"/>
          <w:sz w:val="24"/>
          <w:szCs w:val="24"/>
        </w:rPr>
        <w:t xml:space="preserve"> </w:t>
      </w:r>
      <w:r w:rsidR="00371B1A">
        <w:rPr>
          <w:rFonts w:ascii="Times New Roman" w:hAnsi="Times New Roman" w:cs="Times New Roman"/>
          <w:sz w:val="24"/>
          <w:szCs w:val="24"/>
        </w:rPr>
        <w:t xml:space="preserve">est spécifique d’un couple </w:t>
      </w:r>
      <w:r>
        <w:rPr>
          <w:rFonts w:ascii="Times New Roman" w:hAnsi="Times New Roman" w:cs="Times New Roman"/>
          <w:sz w:val="24"/>
          <w:szCs w:val="24"/>
        </w:rPr>
        <w:t>spécialité/</w:t>
      </w:r>
      <w:r w:rsidR="00371B1A">
        <w:rPr>
          <w:rFonts w:ascii="Times New Roman" w:hAnsi="Times New Roman" w:cs="Times New Roman"/>
          <w:sz w:val="24"/>
          <w:szCs w:val="24"/>
        </w:rPr>
        <w:t>indication</w:t>
      </w:r>
      <w:r w:rsidR="004C7645">
        <w:rPr>
          <w:rFonts w:ascii="Times New Roman" w:hAnsi="Times New Roman" w:cs="Times New Roman"/>
          <w:sz w:val="24"/>
          <w:szCs w:val="24"/>
        </w:rPr>
        <w:t xml:space="preserve">. En revanche, </w:t>
      </w:r>
      <w:r w:rsidR="00967DC4">
        <w:rPr>
          <w:rFonts w:ascii="Times New Roman" w:hAnsi="Times New Roman" w:cs="Times New Roman"/>
          <w:sz w:val="24"/>
          <w:szCs w:val="24"/>
        </w:rPr>
        <w:t>le code de l’indication pour un</w:t>
      </w:r>
      <w:r w:rsidR="004C7645">
        <w:rPr>
          <w:rFonts w:ascii="Times New Roman" w:hAnsi="Times New Roman" w:cs="Times New Roman"/>
          <w:sz w:val="24"/>
          <w:szCs w:val="24"/>
        </w:rPr>
        <w:t xml:space="preserve"> médicament </w:t>
      </w:r>
      <w:r w:rsidR="00371B1A">
        <w:rPr>
          <w:rFonts w:ascii="Times New Roman" w:hAnsi="Times New Roman" w:cs="Times New Roman"/>
          <w:sz w:val="24"/>
          <w:szCs w:val="24"/>
        </w:rPr>
        <w:t xml:space="preserve">générique </w:t>
      </w:r>
      <w:r w:rsidR="00967DC4">
        <w:rPr>
          <w:rFonts w:ascii="Times New Roman" w:hAnsi="Times New Roman" w:cs="Times New Roman"/>
          <w:sz w:val="24"/>
          <w:szCs w:val="24"/>
        </w:rPr>
        <w:t xml:space="preserve">ou </w:t>
      </w:r>
      <w:r w:rsidR="00371B1A">
        <w:rPr>
          <w:rFonts w:ascii="Times New Roman" w:hAnsi="Times New Roman" w:cs="Times New Roman"/>
          <w:sz w:val="24"/>
          <w:szCs w:val="24"/>
        </w:rPr>
        <w:t xml:space="preserve">biosimilaire </w:t>
      </w:r>
      <w:r w:rsidR="00967DC4">
        <w:rPr>
          <w:rFonts w:ascii="Times New Roman" w:hAnsi="Times New Roman" w:cs="Times New Roman"/>
          <w:sz w:val="24"/>
          <w:szCs w:val="24"/>
        </w:rPr>
        <w:t xml:space="preserve">est identique à celui qui a été attribué au </w:t>
      </w:r>
      <w:r w:rsidR="004C7645">
        <w:rPr>
          <w:rFonts w:ascii="Times New Roman" w:hAnsi="Times New Roman" w:cs="Times New Roman"/>
          <w:sz w:val="24"/>
          <w:szCs w:val="24"/>
        </w:rPr>
        <w:t xml:space="preserve">médicament </w:t>
      </w:r>
      <w:r w:rsidR="00371B1A">
        <w:rPr>
          <w:rFonts w:ascii="Times New Roman" w:hAnsi="Times New Roman" w:cs="Times New Roman"/>
          <w:sz w:val="24"/>
          <w:szCs w:val="24"/>
        </w:rPr>
        <w:t>princeps</w:t>
      </w:r>
      <w:r w:rsidR="004C7645">
        <w:rPr>
          <w:rFonts w:ascii="Times New Roman" w:hAnsi="Times New Roman" w:cs="Times New Roman"/>
          <w:sz w:val="24"/>
          <w:szCs w:val="24"/>
        </w:rPr>
        <w:t xml:space="preserve"> ou biologique de référence associé</w:t>
      </w:r>
      <w:r w:rsidR="00967DC4">
        <w:rPr>
          <w:rFonts w:ascii="Times New Roman" w:hAnsi="Times New Roman" w:cs="Times New Roman"/>
          <w:sz w:val="24"/>
          <w:szCs w:val="24"/>
        </w:rPr>
        <w:t xml:space="preserve"> dans cette </w:t>
      </w:r>
      <w:r w:rsidR="00FE6E90">
        <w:rPr>
          <w:rFonts w:ascii="Times New Roman" w:hAnsi="Times New Roman" w:cs="Times New Roman"/>
          <w:sz w:val="24"/>
          <w:szCs w:val="24"/>
        </w:rPr>
        <w:t xml:space="preserve">même </w:t>
      </w:r>
      <w:r w:rsidR="00967DC4">
        <w:rPr>
          <w:rFonts w:ascii="Times New Roman" w:hAnsi="Times New Roman" w:cs="Times New Roman"/>
          <w:sz w:val="24"/>
          <w:szCs w:val="24"/>
        </w:rPr>
        <w:t>indication.</w:t>
      </w:r>
    </w:p>
    <w:p w14:paraId="5C03BD72" w14:textId="77777777" w:rsidR="00467AF4" w:rsidRDefault="00467AF4" w:rsidP="00BF51E9">
      <w:pPr>
        <w:spacing w:after="0" w:line="240" w:lineRule="auto"/>
        <w:jc w:val="both"/>
        <w:rPr>
          <w:rFonts w:ascii="Times New Roman" w:hAnsi="Times New Roman" w:cs="Times New Roman"/>
          <w:sz w:val="24"/>
          <w:szCs w:val="24"/>
        </w:rPr>
      </w:pPr>
    </w:p>
    <w:p w14:paraId="1687AE36" w14:textId="77777777" w:rsidR="00467AF4" w:rsidRDefault="00467AF4" w:rsidP="00467A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 ailleurs, le présent référentiel permet </w:t>
      </w:r>
      <w:r w:rsidRPr="00467AF4">
        <w:rPr>
          <w:rFonts w:ascii="Times New Roman" w:hAnsi="Times New Roman" w:cs="Times New Roman"/>
          <w:sz w:val="24"/>
          <w:szCs w:val="24"/>
        </w:rPr>
        <w:t xml:space="preserve">le codage par indication des spécialités importées et mentionnées dans l’annexe de la note d’information </w:t>
      </w:r>
      <w:r w:rsidR="00820A89">
        <w:rPr>
          <w:rFonts w:ascii="Times New Roman" w:hAnsi="Times New Roman" w:cs="Times New Roman"/>
          <w:sz w:val="24"/>
          <w:szCs w:val="24"/>
        </w:rPr>
        <w:t>N°</w:t>
      </w:r>
      <w:r w:rsidRPr="00467AF4">
        <w:rPr>
          <w:rFonts w:ascii="Times New Roman" w:hAnsi="Times New Roman" w:cs="Times New Roman"/>
          <w:sz w:val="24"/>
          <w:szCs w:val="24"/>
        </w:rPr>
        <w:t>DGOS/DSS/PF2/1C/2018/274 du 12 décembre 2018</w:t>
      </w:r>
      <w:r>
        <w:rPr>
          <w:rStyle w:val="Appelnotedebasdep"/>
          <w:rFonts w:ascii="Times New Roman" w:hAnsi="Times New Roman" w:cs="Times New Roman"/>
          <w:sz w:val="24"/>
          <w:szCs w:val="24"/>
        </w:rPr>
        <w:footnoteReference w:id="2"/>
      </w:r>
      <w:r w:rsidRPr="00467AF4">
        <w:rPr>
          <w:rFonts w:ascii="Times New Roman" w:hAnsi="Times New Roman" w:cs="Times New Roman"/>
          <w:sz w:val="24"/>
          <w:szCs w:val="24"/>
        </w:rPr>
        <w:t xml:space="preserve">. </w:t>
      </w:r>
      <w:r>
        <w:rPr>
          <w:rFonts w:ascii="Times New Roman" w:hAnsi="Times New Roman" w:cs="Times New Roman"/>
          <w:sz w:val="24"/>
          <w:szCs w:val="24"/>
        </w:rPr>
        <w:t>L</w:t>
      </w:r>
      <w:r w:rsidRPr="00467AF4">
        <w:rPr>
          <w:rFonts w:ascii="Times New Roman" w:hAnsi="Times New Roman" w:cs="Times New Roman"/>
          <w:sz w:val="24"/>
          <w:szCs w:val="24"/>
        </w:rPr>
        <w:t xml:space="preserve">e code indication de ces spécialités </w:t>
      </w:r>
      <w:r>
        <w:rPr>
          <w:rFonts w:ascii="Times New Roman" w:hAnsi="Times New Roman" w:cs="Times New Roman"/>
          <w:sz w:val="24"/>
          <w:szCs w:val="24"/>
        </w:rPr>
        <w:t>est</w:t>
      </w:r>
      <w:r w:rsidRPr="00467AF4">
        <w:rPr>
          <w:rFonts w:ascii="Times New Roman" w:hAnsi="Times New Roman" w:cs="Times New Roman"/>
          <w:sz w:val="24"/>
          <w:szCs w:val="24"/>
        </w:rPr>
        <w:t xml:space="preserve"> identique à celui qui a été attribué à la spécialité faisant l’objet de tensions d’approvisionnement.</w:t>
      </w:r>
      <w:r>
        <w:rPr>
          <w:rFonts w:ascii="Times New Roman" w:hAnsi="Times New Roman" w:cs="Times New Roman"/>
          <w:sz w:val="24"/>
          <w:szCs w:val="24"/>
        </w:rPr>
        <w:t xml:space="preserve"> Le référentiel mentionne</w:t>
      </w:r>
      <w:r w:rsidRPr="00467AF4">
        <w:rPr>
          <w:rFonts w:ascii="Times New Roman" w:hAnsi="Times New Roman" w:cs="Times New Roman"/>
          <w:sz w:val="24"/>
          <w:szCs w:val="24"/>
        </w:rPr>
        <w:t xml:space="preserve"> la date de fin de prise en charge en sus pour chacune des spécialités concernées. </w:t>
      </w:r>
    </w:p>
    <w:p w14:paraId="6E330164" w14:textId="77777777" w:rsidR="00467AF4" w:rsidRDefault="00467AF4" w:rsidP="00BF51E9">
      <w:pPr>
        <w:spacing w:after="0" w:line="240" w:lineRule="auto"/>
        <w:jc w:val="both"/>
        <w:rPr>
          <w:rFonts w:ascii="Times New Roman" w:hAnsi="Times New Roman" w:cs="Times New Roman"/>
          <w:sz w:val="24"/>
          <w:szCs w:val="24"/>
        </w:rPr>
      </w:pPr>
    </w:p>
    <w:p w14:paraId="35C946E0" w14:textId="5CDC6959" w:rsidR="00A8145F" w:rsidRPr="00A8145F" w:rsidRDefault="00AD3142" w:rsidP="00A8145F">
      <w:pPr>
        <w:jc w:val="both"/>
        <w:rPr>
          <w:rFonts w:ascii="Times New Roman" w:hAnsi="Times New Roman" w:cs="Times New Roman"/>
          <w:sz w:val="24"/>
          <w:szCs w:val="24"/>
        </w:rPr>
      </w:pPr>
      <w:r w:rsidRPr="00A8145F">
        <w:rPr>
          <w:rFonts w:ascii="Times New Roman" w:hAnsi="Times New Roman" w:cs="Times New Roman"/>
          <w:sz w:val="24"/>
          <w:szCs w:val="24"/>
        </w:rPr>
        <w:t xml:space="preserve">Un code </w:t>
      </w:r>
      <w:r w:rsidR="00BC3E24">
        <w:rPr>
          <w:rFonts w:ascii="Times New Roman" w:hAnsi="Times New Roman" w:cs="Times New Roman"/>
          <w:sz w:val="24"/>
          <w:szCs w:val="24"/>
        </w:rPr>
        <w:t xml:space="preserve">indication </w:t>
      </w:r>
      <w:r w:rsidRPr="00A8145F">
        <w:rPr>
          <w:rFonts w:ascii="Times New Roman" w:hAnsi="Times New Roman" w:cs="Times New Roman"/>
          <w:sz w:val="24"/>
          <w:szCs w:val="24"/>
        </w:rPr>
        <w:t>LES n’est pas réutilisé, même après radiation d’une indication de la liste en sus ou de</w:t>
      </w:r>
      <w:r w:rsidR="00FE6E90" w:rsidRPr="00A8145F">
        <w:rPr>
          <w:rFonts w:ascii="Times New Roman" w:hAnsi="Times New Roman" w:cs="Times New Roman"/>
          <w:sz w:val="24"/>
          <w:szCs w:val="24"/>
        </w:rPr>
        <w:t xml:space="preserve"> la liste des médicaments agrées aux</w:t>
      </w:r>
      <w:r w:rsidRPr="00A8145F">
        <w:rPr>
          <w:rFonts w:ascii="Times New Roman" w:hAnsi="Times New Roman" w:cs="Times New Roman"/>
          <w:sz w:val="24"/>
          <w:szCs w:val="24"/>
        </w:rPr>
        <w:t xml:space="preserve"> collectivités.</w:t>
      </w:r>
    </w:p>
    <w:p w14:paraId="05B0C86F" w14:textId="640F8046" w:rsidR="00A8145F" w:rsidRDefault="00A8145F" w:rsidP="00961740">
      <w:pPr>
        <w:pStyle w:val="Paragraphedeliste"/>
        <w:numPr>
          <w:ilvl w:val="0"/>
          <w:numId w:val="9"/>
        </w:numPr>
        <w:jc w:val="both"/>
        <w:rPr>
          <w:rFonts w:ascii="Times New Roman" w:hAnsi="Times New Roman" w:cs="Times New Roman"/>
          <w:sz w:val="24"/>
          <w:szCs w:val="24"/>
        </w:rPr>
      </w:pPr>
      <w:r w:rsidRPr="00A8145F">
        <w:rPr>
          <w:rFonts w:ascii="Times New Roman" w:hAnsi="Times New Roman" w:cs="Times New Roman"/>
          <w:sz w:val="24"/>
          <w:szCs w:val="24"/>
        </w:rPr>
        <w:t>Le</w:t>
      </w:r>
      <w:r w:rsidR="00C20327">
        <w:rPr>
          <w:rFonts w:ascii="Times New Roman" w:hAnsi="Times New Roman" w:cs="Times New Roman"/>
          <w:sz w:val="24"/>
          <w:szCs w:val="24"/>
        </w:rPr>
        <w:t>s</w:t>
      </w:r>
      <w:r w:rsidR="000372EC" w:rsidRPr="00A8145F">
        <w:rPr>
          <w:rFonts w:ascii="Times New Roman" w:hAnsi="Times New Roman" w:cs="Times New Roman"/>
          <w:sz w:val="24"/>
          <w:szCs w:val="24"/>
        </w:rPr>
        <w:t xml:space="preserve"> </w:t>
      </w:r>
      <w:r w:rsidR="00262F11" w:rsidRPr="00A8145F">
        <w:rPr>
          <w:rFonts w:ascii="Times New Roman" w:hAnsi="Times New Roman" w:cs="Times New Roman"/>
          <w:sz w:val="24"/>
          <w:szCs w:val="24"/>
        </w:rPr>
        <w:t>code</w:t>
      </w:r>
      <w:r w:rsidR="00C20327">
        <w:rPr>
          <w:rFonts w:ascii="Times New Roman" w:hAnsi="Times New Roman" w:cs="Times New Roman"/>
          <w:sz w:val="24"/>
          <w:szCs w:val="24"/>
        </w:rPr>
        <w:t>s</w:t>
      </w:r>
      <w:r w:rsidR="00262F11" w:rsidRPr="00A8145F">
        <w:rPr>
          <w:rFonts w:ascii="Times New Roman" w:hAnsi="Times New Roman" w:cs="Times New Roman"/>
          <w:sz w:val="24"/>
          <w:szCs w:val="24"/>
        </w:rPr>
        <w:t xml:space="preserve"> indication </w:t>
      </w:r>
      <w:r w:rsidR="000372EC" w:rsidRPr="00A8145F">
        <w:rPr>
          <w:rFonts w:ascii="Times New Roman" w:hAnsi="Times New Roman" w:cs="Times New Roman"/>
          <w:sz w:val="24"/>
          <w:szCs w:val="24"/>
        </w:rPr>
        <w:t>« I999999 »</w:t>
      </w:r>
      <w:r w:rsidR="00C20327">
        <w:rPr>
          <w:rFonts w:ascii="Times New Roman" w:hAnsi="Times New Roman" w:cs="Times New Roman"/>
          <w:sz w:val="24"/>
          <w:szCs w:val="24"/>
        </w:rPr>
        <w:t xml:space="preserve"> et « S999999 »</w:t>
      </w:r>
      <w:r w:rsidR="000372EC" w:rsidRPr="00A8145F">
        <w:rPr>
          <w:rFonts w:ascii="Times New Roman" w:hAnsi="Times New Roman" w:cs="Times New Roman"/>
          <w:sz w:val="24"/>
          <w:szCs w:val="24"/>
        </w:rPr>
        <w:t xml:space="preserve"> </w:t>
      </w:r>
      <w:r w:rsidR="00262F11" w:rsidRPr="00A8145F">
        <w:rPr>
          <w:rFonts w:ascii="Times New Roman" w:hAnsi="Times New Roman" w:cs="Times New Roman"/>
          <w:sz w:val="24"/>
          <w:szCs w:val="24"/>
        </w:rPr>
        <w:t>permet</w:t>
      </w:r>
      <w:r w:rsidR="00C20327">
        <w:rPr>
          <w:rFonts w:ascii="Times New Roman" w:hAnsi="Times New Roman" w:cs="Times New Roman"/>
          <w:sz w:val="24"/>
          <w:szCs w:val="24"/>
        </w:rPr>
        <w:t>tent</w:t>
      </w:r>
      <w:r w:rsidR="00262F11" w:rsidRPr="00A8145F">
        <w:rPr>
          <w:rFonts w:ascii="Times New Roman" w:hAnsi="Times New Roman" w:cs="Times New Roman"/>
          <w:sz w:val="24"/>
          <w:szCs w:val="24"/>
        </w:rPr>
        <w:t xml:space="preserve"> le codage des indications qui ne seraient pas présentes dans le référentiel administratif</w:t>
      </w:r>
      <w:r w:rsidR="000372EC" w:rsidRPr="00A8145F">
        <w:rPr>
          <w:rFonts w:ascii="Times New Roman" w:hAnsi="Times New Roman" w:cs="Times New Roman"/>
          <w:sz w:val="24"/>
          <w:szCs w:val="24"/>
        </w:rPr>
        <w:t xml:space="preserve"> </w:t>
      </w:r>
      <w:r w:rsidR="00B729D2" w:rsidRPr="00A8145F">
        <w:rPr>
          <w:rFonts w:ascii="Times New Roman" w:hAnsi="Times New Roman" w:cs="Times New Roman"/>
          <w:sz w:val="24"/>
          <w:szCs w:val="24"/>
        </w:rPr>
        <w:t xml:space="preserve">et qui seraient prescrites </w:t>
      </w:r>
      <w:r w:rsidR="00BC3E24">
        <w:rPr>
          <w:rFonts w:ascii="Times New Roman" w:hAnsi="Times New Roman" w:cs="Times New Roman"/>
          <w:sz w:val="24"/>
          <w:szCs w:val="24"/>
        </w:rPr>
        <w:t>en application de</w:t>
      </w:r>
      <w:r w:rsidR="00B729D2" w:rsidRPr="00A8145F">
        <w:rPr>
          <w:rFonts w:ascii="Times New Roman" w:hAnsi="Times New Roman" w:cs="Times New Roman"/>
          <w:sz w:val="24"/>
          <w:szCs w:val="24"/>
        </w:rPr>
        <w:t xml:space="preserve"> </w:t>
      </w:r>
      <w:r w:rsidR="00BC3E24" w:rsidRPr="00A8145F">
        <w:rPr>
          <w:rFonts w:ascii="Times New Roman" w:hAnsi="Times New Roman" w:cs="Times New Roman"/>
          <w:sz w:val="24"/>
          <w:szCs w:val="24"/>
        </w:rPr>
        <w:t>l’article L. 5121-12-1</w:t>
      </w:r>
      <w:r w:rsidR="00BC3E24">
        <w:rPr>
          <w:rFonts w:ascii="Times New Roman" w:hAnsi="Times New Roman" w:cs="Times New Roman"/>
          <w:sz w:val="24"/>
          <w:szCs w:val="24"/>
        </w:rPr>
        <w:t>-2</w:t>
      </w:r>
      <w:r w:rsidR="00BC3E24" w:rsidRPr="00A8145F">
        <w:rPr>
          <w:rFonts w:ascii="Times New Roman" w:hAnsi="Times New Roman" w:cs="Times New Roman"/>
          <w:sz w:val="24"/>
          <w:szCs w:val="24"/>
        </w:rPr>
        <w:t xml:space="preserve"> du code de la santé publique </w:t>
      </w:r>
      <w:r w:rsidR="00BC3E24">
        <w:rPr>
          <w:rFonts w:ascii="Times New Roman" w:hAnsi="Times New Roman" w:cs="Times New Roman"/>
          <w:sz w:val="24"/>
          <w:szCs w:val="24"/>
        </w:rPr>
        <w:t>en dehors d’</w:t>
      </w:r>
      <w:r w:rsidR="000372EC" w:rsidRPr="00A8145F">
        <w:rPr>
          <w:rFonts w:ascii="Times New Roman" w:hAnsi="Times New Roman" w:cs="Times New Roman"/>
          <w:sz w:val="24"/>
          <w:szCs w:val="24"/>
        </w:rPr>
        <w:t>indication</w:t>
      </w:r>
      <w:r w:rsidR="00BC3E24">
        <w:rPr>
          <w:rFonts w:ascii="Times New Roman" w:hAnsi="Times New Roman" w:cs="Times New Roman"/>
          <w:sz w:val="24"/>
          <w:szCs w:val="24"/>
        </w:rPr>
        <w:t xml:space="preserve">s figurant dans </w:t>
      </w:r>
      <w:r w:rsidR="000372EC" w:rsidRPr="00A8145F">
        <w:rPr>
          <w:rFonts w:ascii="Times New Roman" w:hAnsi="Times New Roman" w:cs="Times New Roman"/>
          <w:sz w:val="24"/>
          <w:szCs w:val="24"/>
        </w:rPr>
        <w:t>l’</w:t>
      </w:r>
      <w:r w:rsidR="00E933FF" w:rsidRPr="00A8145F">
        <w:rPr>
          <w:rFonts w:ascii="Times New Roman" w:hAnsi="Times New Roman" w:cs="Times New Roman"/>
          <w:sz w:val="24"/>
          <w:szCs w:val="24"/>
        </w:rPr>
        <w:t xml:space="preserve">autorisation </w:t>
      </w:r>
      <w:r w:rsidR="00BC3E24">
        <w:rPr>
          <w:rFonts w:ascii="Times New Roman" w:hAnsi="Times New Roman" w:cs="Times New Roman"/>
          <w:sz w:val="24"/>
          <w:szCs w:val="24"/>
        </w:rPr>
        <w:t>de mise sur le marché de la spécialité</w:t>
      </w:r>
      <w:r>
        <w:rPr>
          <w:rFonts w:ascii="Times New Roman" w:hAnsi="Times New Roman" w:cs="Times New Roman"/>
          <w:sz w:val="24"/>
          <w:szCs w:val="24"/>
        </w:rPr>
        <w:t>.</w:t>
      </w:r>
    </w:p>
    <w:p w14:paraId="6A06019E" w14:textId="19BADECB" w:rsidR="00A8145F" w:rsidRDefault="000372EC" w:rsidP="00610382">
      <w:pPr>
        <w:pStyle w:val="Paragraphedeliste"/>
        <w:numPr>
          <w:ilvl w:val="0"/>
          <w:numId w:val="9"/>
        </w:numPr>
        <w:jc w:val="both"/>
        <w:rPr>
          <w:rFonts w:ascii="Times New Roman" w:hAnsi="Times New Roman" w:cs="Times New Roman"/>
          <w:sz w:val="24"/>
          <w:szCs w:val="24"/>
        </w:rPr>
      </w:pPr>
      <w:r w:rsidRPr="00A8145F">
        <w:rPr>
          <w:rFonts w:ascii="Times New Roman" w:hAnsi="Times New Roman" w:cs="Times New Roman"/>
          <w:sz w:val="24"/>
          <w:szCs w:val="24"/>
        </w:rPr>
        <w:lastRenderedPageBreak/>
        <w:t xml:space="preserve">Le </w:t>
      </w:r>
      <w:r w:rsidR="00E933FF" w:rsidRPr="00A8145F">
        <w:rPr>
          <w:rFonts w:ascii="Times New Roman" w:hAnsi="Times New Roman" w:cs="Times New Roman"/>
          <w:sz w:val="24"/>
          <w:szCs w:val="24"/>
        </w:rPr>
        <w:t xml:space="preserve">code </w:t>
      </w:r>
      <w:r w:rsidR="00A8145F" w:rsidRPr="00A8145F">
        <w:rPr>
          <w:rFonts w:ascii="Times New Roman" w:hAnsi="Times New Roman" w:cs="Times New Roman"/>
          <w:sz w:val="24"/>
          <w:szCs w:val="24"/>
        </w:rPr>
        <w:t xml:space="preserve">indication </w:t>
      </w:r>
      <w:r w:rsidRPr="00A8145F">
        <w:rPr>
          <w:rFonts w:ascii="Times New Roman" w:hAnsi="Times New Roman" w:cs="Times New Roman"/>
          <w:sz w:val="24"/>
          <w:szCs w:val="24"/>
        </w:rPr>
        <w:t>« I999998 »</w:t>
      </w:r>
      <w:r w:rsidR="00105B4A" w:rsidRPr="00A8145F">
        <w:rPr>
          <w:rFonts w:ascii="Times New Roman" w:hAnsi="Times New Roman" w:cs="Times New Roman"/>
          <w:sz w:val="24"/>
          <w:szCs w:val="24"/>
        </w:rPr>
        <w:t xml:space="preserve"> </w:t>
      </w:r>
      <w:r w:rsidR="00E933FF" w:rsidRPr="00A8145F">
        <w:rPr>
          <w:rFonts w:ascii="Times New Roman" w:hAnsi="Times New Roman" w:cs="Times New Roman"/>
          <w:sz w:val="24"/>
          <w:szCs w:val="24"/>
        </w:rPr>
        <w:t>permet le codage des indications</w:t>
      </w:r>
      <w:r w:rsidR="00B729D2" w:rsidRPr="00A8145F">
        <w:rPr>
          <w:rFonts w:ascii="Times New Roman" w:hAnsi="Times New Roman" w:cs="Times New Roman"/>
          <w:sz w:val="24"/>
          <w:szCs w:val="24"/>
        </w:rPr>
        <w:t xml:space="preserve"> non présentes dans le référentiel</w:t>
      </w:r>
      <w:r w:rsidR="00E933FF" w:rsidRPr="00A8145F">
        <w:rPr>
          <w:rFonts w:ascii="Times New Roman" w:hAnsi="Times New Roman" w:cs="Times New Roman"/>
          <w:sz w:val="24"/>
          <w:szCs w:val="24"/>
        </w:rPr>
        <w:t xml:space="preserve"> </w:t>
      </w:r>
      <w:r w:rsidR="00B729D2" w:rsidRPr="00A8145F">
        <w:rPr>
          <w:rFonts w:ascii="Times New Roman" w:hAnsi="Times New Roman" w:cs="Times New Roman"/>
          <w:sz w:val="24"/>
          <w:szCs w:val="24"/>
        </w:rPr>
        <w:t>et faisant l’objet de recherches</w:t>
      </w:r>
      <w:r w:rsidR="00E933FF" w:rsidRPr="00A8145F">
        <w:rPr>
          <w:rFonts w:ascii="Times New Roman" w:hAnsi="Times New Roman" w:cs="Times New Roman"/>
          <w:sz w:val="24"/>
          <w:szCs w:val="24"/>
        </w:rPr>
        <w:t xml:space="preserve"> menées dans le cadre de l’article L. 1121-1 du code de la santé publique</w:t>
      </w:r>
      <w:r w:rsidRPr="00A8145F">
        <w:rPr>
          <w:rFonts w:ascii="Times New Roman" w:hAnsi="Times New Roman" w:cs="Times New Roman"/>
          <w:sz w:val="24"/>
          <w:szCs w:val="24"/>
        </w:rPr>
        <w:t>.</w:t>
      </w:r>
      <w:r w:rsidR="00E933FF" w:rsidRPr="00A8145F">
        <w:rPr>
          <w:rFonts w:ascii="Times New Roman" w:hAnsi="Times New Roman" w:cs="Times New Roman"/>
          <w:sz w:val="24"/>
          <w:szCs w:val="24"/>
        </w:rPr>
        <w:t xml:space="preserve"> </w:t>
      </w:r>
    </w:p>
    <w:p w14:paraId="5EC253F4" w14:textId="54A63372" w:rsidR="00282C64" w:rsidRPr="00282C64" w:rsidRDefault="00282C64" w:rsidP="00282C64">
      <w:pPr>
        <w:pStyle w:val="Paragraphedeliste"/>
        <w:numPr>
          <w:ilvl w:val="0"/>
          <w:numId w:val="9"/>
        </w:numPr>
        <w:jc w:val="both"/>
        <w:rPr>
          <w:rFonts w:ascii="Times New Roman" w:hAnsi="Times New Roman" w:cs="Times New Roman"/>
          <w:sz w:val="24"/>
          <w:szCs w:val="24"/>
        </w:rPr>
      </w:pPr>
      <w:r w:rsidRPr="00282C64">
        <w:rPr>
          <w:rFonts w:ascii="Times New Roman" w:hAnsi="Times New Roman" w:cs="Times New Roman"/>
          <w:sz w:val="24"/>
          <w:szCs w:val="24"/>
        </w:rPr>
        <w:t>Le code indication « I999997 »</w:t>
      </w:r>
      <w:r>
        <w:rPr>
          <w:rFonts w:ascii="Times New Roman" w:hAnsi="Times New Roman" w:cs="Times New Roman"/>
          <w:sz w:val="24"/>
          <w:szCs w:val="24"/>
        </w:rPr>
        <w:t xml:space="preserve"> </w:t>
      </w:r>
      <w:r w:rsidRPr="00282C64">
        <w:rPr>
          <w:rFonts w:ascii="Times New Roman" w:hAnsi="Times New Roman" w:cs="Times New Roman"/>
          <w:sz w:val="24"/>
          <w:szCs w:val="24"/>
        </w:rPr>
        <w:t>permet le codage des indications faisant l’objet d’AMM miroir</w:t>
      </w:r>
      <w:r>
        <w:rPr>
          <w:rFonts w:ascii="Times New Roman" w:hAnsi="Times New Roman" w:cs="Times New Roman"/>
          <w:sz w:val="24"/>
          <w:szCs w:val="24"/>
        </w:rPr>
        <w:t xml:space="preserve"> au titre de l’article L. 162-18-1 du code de la sécurité sociale</w:t>
      </w:r>
      <w:r w:rsidRPr="00282C64">
        <w:rPr>
          <w:rFonts w:ascii="Times New Roman" w:hAnsi="Times New Roman" w:cs="Times New Roman"/>
          <w:sz w:val="24"/>
          <w:szCs w:val="24"/>
        </w:rPr>
        <w:t xml:space="preserve">. </w:t>
      </w:r>
    </w:p>
    <w:p w14:paraId="03790C8E" w14:textId="77777777" w:rsidR="00C20327" w:rsidRDefault="00C20327" w:rsidP="00A8145F">
      <w:pPr>
        <w:jc w:val="both"/>
        <w:rPr>
          <w:rFonts w:ascii="Times New Roman" w:hAnsi="Times New Roman" w:cs="Times New Roman"/>
          <w:sz w:val="24"/>
          <w:szCs w:val="24"/>
        </w:rPr>
      </w:pPr>
    </w:p>
    <w:p w14:paraId="55E34441" w14:textId="77777777" w:rsidR="00672761" w:rsidRPr="00A8145F" w:rsidRDefault="00672761" w:rsidP="00A8145F">
      <w:pPr>
        <w:jc w:val="both"/>
        <w:rPr>
          <w:rFonts w:ascii="Times New Roman" w:hAnsi="Times New Roman" w:cs="Times New Roman"/>
          <w:sz w:val="24"/>
          <w:szCs w:val="24"/>
        </w:rPr>
      </w:pPr>
      <w:r w:rsidRPr="00A8145F">
        <w:rPr>
          <w:rFonts w:ascii="Times New Roman" w:hAnsi="Times New Roman" w:cs="Times New Roman"/>
          <w:sz w:val="24"/>
          <w:szCs w:val="24"/>
        </w:rPr>
        <w:t>Ces codes indications sont transmis lors de la facturation selon les modalités décrites dans la note d’information susmentionnée.</w:t>
      </w:r>
    </w:p>
    <w:p w14:paraId="0ABE52F3" w14:textId="77777777" w:rsidR="00EC5C51" w:rsidRDefault="00EC5C51" w:rsidP="00BF51E9">
      <w:pPr>
        <w:spacing w:after="0" w:line="24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9742"/>
      </w:tblGrid>
      <w:tr w:rsidR="00EC5C51" w14:paraId="14ADEBDC" w14:textId="77777777" w:rsidTr="00EC5C51">
        <w:tc>
          <w:tcPr>
            <w:tcW w:w="9892" w:type="dxa"/>
            <w:shd w:val="clear" w:color="auto" w:fill="F2DBDB" w:themeFill="accent2" w:themeFillTint="33"/>
          </w:tcPr>
          <w:p w14:paraId="4280E5E1" w14:textId="77777777" w:rsidR="00EC5C51" w:rsidRDefault="00EC5C51" w:rsidP="00EC5C51">
            <w:pPr>
              <w:jc w:val="both"/>
              <w:rPr>
                <w:rFonts w:ascii="Times New Roman" w:hAnsi="Times New Roman" w:cs="Times New Roman"/>
                <w:sz w:val="24"/>
                <w:szCs w:val="24"/>
              </w:rPr>
            </w:pPr>
            <w:r w:rsidRPr="00EC5C51">
              <w:rPr>
                <w:rFonts w:ascii="Times New Roman" w:hAnsi="Times New Roman" w:cs="Times New Roman"/>
                <w:b/>
                <w:sz w:val="24"/>
                <w:szCs w:val="24"/>
              </w:rPr>
              <w:t>Point d’a</w:t>
            </w:r>
            <w:r>
              <w:rPr>
                <w:rFonts w:ascii="Times New Roman" w:hAnsi="Times New Roman" w:cs="Times New Roman"/>
                <w:b/>
                <w:sz w:val="24"/>
                <w:szCs w:val="24"/>
              </w:rPr>
              <w:t>ttention</w:t>
            </w:r>
            <w:r>
              <w:rPr>
                <w:rFonts w:ascii="Times New Roman" w:hAnsi="Times New Roman" w:cs="Times New Roman"/>
                <w:sz w:val="24"/>
                <w:szCs w:val="24"/>
              </w:rPr>
              <w:t>: Un codage</w:t>
            </w:r>
            <w:r w:rsidRPr="00822D6F">
              <w:rPr>
                <w:rFonts w:ascii="Times New Roman" w:hAnsi="Times New Roman" w:cs="Times New Roman"/>
                <w:sz w:val="24"/>
                <w:szCs w:val="24"/>
              </w:rPr>
              <w:t xml:space="preserve"> du code indication </w:t>
            </w:r>
            <w:r w:rsidRPr="00822D6F">
              <w:rPr>
                <w:rFonts w:ascii="Times New Roman" w:hAnsi="Times New Roman" w:cs="Times New Roman"/>
                <w:b/>
                <w:sz w:val="24"/>
                <w:szCs w:val="24"/>
              </w:rPr>
              <w:t>conforme à la situation clinique du patient</w:t>
            </w:r>
            <w:r>
              <w:rPr>
                <w:rFonts w:ascii="Times New Roman" w:hAnsi="Times New Roman" w:cs="Times New Roman"/>
                <w:sz w:val="24"/>
                <w:szCs w:val="24"/>
              </w:rPr>
              <w:t xml:space="preserve"> est extrêmement important, notamment pour des raisons économiques. </w:t>
            </w:r>
          </w:p>
          <w:p w14:paraId="65FFCC04" w14:textId="20730E3C" w:rsidR="00EC5C51" w:rsidRDefault="00EC5C51" w:rsidP="00EC5C51">
            <w:pPr>
              <w:jc w:val="both"/>
              <w:rPr>
                <w:rFonts w:ascii="Times New Roman" w:hAnsi="Times New Roman" w:cs="Times New Roman"/>
                <w:sz w:val="24"/>
                <w:szCs w:val="24"/>
              </w:rPr>
            </w:pPr>
            <w:r>
              <w:rPr>
                <w:rFonts w:ascii="Times New Roman" w:hAnsi="Times New Roman" w:cs="Times New Roman"/>
                <w:sz w:val="24"/>
                <w:szCs w:val="24"/>
              </w:rPr>
              <w:t>Nous attirons votre attention sur le fait que le libellé des indications de certaines spécialités sont parfois très proches, en témoigne cet exemple concernant la spécialité IMFINZI</w:t>
            </w:r>
            <w:r w:rsidR="00AD49BC" w:rsidRPr="00BC3E24">
              <w:rPr>
                <w:rFonts w:ascii="Times New Roman" w:hAnsi="Times New Roman" w:cs="Times New Roman"/>
                <w:sz w:val="24"/>
                <w:szCs w:val="24"/>
                <w:vertAlign w:val="superscript"/>
              </w:rPr>
              <w:t>®</w:t>
            </w:r>
            <w:r>
              <w:rPr>
                <w:rFonts w:ascii="Times New Roman" w:hAnsi="Times New Roman" w:cs="Times New Roman"/>
                <w:sz w:val="24"/>
                <w:szCs w:val="24"/>
              </w:rPr>
              <w:t xml:space="preserve"> : </w:t>
            </w:r>
          </w:p>
          <w:p w14:paraId="2142A925" w14:textId="77777777" w:rsidR="00EC5C51" w:rsidRDefault="00EC5C51" w:rsidP="00EC5C51">
            <w:pPr>
              <w:jc w:val="both"/>
              <w:rPr>
                <w:rFonts w:ascii="Times New Roman" w:hAnsi="Times New Roman" w:cs="Times New Roman"/>
                <w:sz w:val="24"/>
                <w:szCs w:val="24"/>
              </w:rPr>
            </w:pPr>
          </w:p>
          <w:p w14:paraId="155FB54E" w14:textId="45DDF26B" w:rsidR="00EC5C51" w:rsidRPr="00822D6F" w:rsidRDefault="00EC5C51" w:rsidP="00EC5C51">
            <w:pPr>
              <w:pStyle w:val="Paragraphedeliste"/>
              <w:numPr>
                <w:ilvl w:val="0"/>
                <w:numId w:val="8"/>
              </w:numPr>
              <w:rPr>
                <w:rFonts w:ascii="Times New Roman" w:hAnsi="Times New Roman" w:cs="Times New Roman"/>
                <w:b/>
                <w:sz w:val="24"/>
                <w:szCs w:val="24"/>
                <w:u w:val="single"/>
              </w:rPr>
            </w:pPr>
            <w:r w:rsidRPr="00EC5C51">
              <w:rPr>
                <w:rFonts w:ascii="Times New Roman" w:hAnsi="Times New Roman" w:cs="Times New Roman"/>
                <w:i/>
                <w:sz w:val="24"/>
                <w:szCs w:val="24"/>
              </w:rPr>
              <w:t>Indication prise en charge au titre d’un</w:t>
            </w:r>
            <w:r w:rsidR="00282C64">
              <w:rPr>
                <w:rFonts w:ascii="Times New Roman" w:hAnsi="Times New Roman" w:cs="Times New Roman"/>
                <w:i/>
                <w:sz w:val="24"/>
                <w:szCs w:val="24"/>
              </w:rPr>
              <w:t xml:space="preserve"> CPC (</w:t>
            </w:r>
            <w:r w:rsidRPr="00EC5C51">
              <w:rPr>
                <w:rFonts w:ascii="Times New Roman" w:hAnsi="Times New Roman" w:cs="Times New Roman"/>
                <w:i/>
                <w:sz w:val="24"/>
                <w:szCs w:val="24"/>
              </w:rPr>
              <w:t>e</w:t>
            </w:r>
            <w:r w:rsidR="00282C64">
              <w:rPr>
                <w:rFonts w:ascii="Times New Roman" w:hAnsi="Times New Roman" w:cs="Times New Roman"/>
                <w:i/>
                <w:sz w:val="24"/>
                <w:szCs w:val="24"/>
              </w:rPr>
              <w:t>x-</w:t>
            </w:r>
            <w:r w:rsidRPr="00EC5C51">
              <w:rPr>
                <w:rFonts w:ascii="Times New Roman" w:hAnsi="Times New Roman" w:cs="Times New Roman"/>
                <w:i/>
                <w:sz w:val="24"/>
                <w:szCs w:val="24"/>
              </w:rPr>
              <w:t>RTU</w:t>
            </w:r>
            <w:r w:rsidR="00282C64">
              <w:rPr>
                <w:rFonts w:ascii="Times New Roman" w:hAnsi="Times New Roman" w:cs="Times New Roman"/>
                <w:i/>
                <w:sz w:val="24"/>
                <w:szCs w:val="24"/>
              </w:rPr>
              <w:t>)</w:t>
            </w:r>
            <w:r w:rsidR="007B6CA4">
              <w:rPr>
                <w:rFonts w:ascii="Times New Roman" w:hAnsi="Times New Roman" w:cs="Times New Roman"/>
                <w:i/>
                <w:sz w:val="24"/>
                <w:szCs w:val="24"/>
              </w:rPr>
              <w:t xml:space="preserve"> (référentiel accès compassionnel)</w:t>
            </w:r>
            <w:r w:rsidRPr="00822D6F">
              <w:rPr>
                <w:rFonts w:ascii="Times New Roman" w:hAnsi="Times New Roman" w:cs="Times New Roman"/>
                <w:sz w:val="24"/>
                <w:szCs w:val="24"/>
              </w:rPr>
              <w:t xml:space="preserve"> : Monothérapie dans le traitement des patients adultes atteints d’un cancer bronchique non à petites cellules (CBNPC) localement avancé non opérable et dont la maladie n’a pas progressé après une </w:t>
            </w:r>
            <w:proofErr w:type="spellStart"/>
            <w:r w:rsidRPr="00822D6F">
              <w:rPr>
                <w:rFonts w:ascii="Times New Roman" w:hAnsi="Times New Roman" w:cs="Times New Roman"/>
                <w:sz w:val="24"/>
                <w:szCs w:val="24"/>
              </w:rPr>
              <w:t>chimioradiothérapie</w:t>
            </w:r>
            <w:proofErr w:type="spellEnd"/>
            <w:r w:rsidRPr="00822D6F">
              <w:rPr>
                <w:rFonts w:ascii="Times New Roman" w:hAnsi="Times New Roman" w:cs="Times New Roman"/>
                <w:sz w:val="24"/>
                <w:szCs w:val="24"/>
              </w:rPr>
              <w:t xml:space="preserve"> à base de platine, en cas d’expression tumorale </w:t>
            </w:r>
            <w:r w:rsidRPr="00EC5C51">
              <w:rPr>
                <w:rFonts w:ascii="Times New Roman" w:hAnsi="Times New Roman" w:cs="Times New Roman"/>
                <w:sz w:val="24"/>
                <w:szCs w:val="24"/>
                <w:u w:val="single"/>
              </w:rPr>
              <w:t>de PD-L1 &lt; 1% ou de statut inconnu</w:t>
            </w:r>
            <w:r>
              <w:rPr>
                <w:rFonts w:ascii="Times New Roman" w:hAnsi="Times New Roman" w:cs="Times New Roman"/>
                <w:sz w:val="24"/>
                <w:szCs w:val="24"/>
                <w:u w:val="single"/>
              </w:rPr>
              <w:t>.</w:t>
            </w:r>
          </w:p>
          <w:p w14:paraId="13BB220B" w14:textId="77777777" w:rsidR="00EC5C51" w:rsidRPr="00822D6F" w:rsidRDefault="00EC5C51" w:rsidP="00EC5C51">
            <w:pPr>
              <w:pStyle w:val="Paragraphedeliste"/>
              <w:rPr>
                <w:rFonts w:ascii="Times New Roman" w:hAnsi="Times New Roman" w:cs="Times New Roman"/>
                <w:sz w:val="24"/>
                <w:szCs w:val="24"/>
              </w:rPr>
            </w:pPr>
          </w:p>
          <w:p w14:paraId="0D15B606" w14:textId="77777777" w:rsidR="00EC5C51" w:rsidRPr="00822D6F" w:rsidRDefault="00EC5C51" w:rsidP="00EC5C51">
            <w:pPr>
              <w:pStyle w:val="Paragraphedeliste"/>
              <w:numPr>
                <w:ilvl w:val="0"/>
                <w:numId w:val="8"/>
              </w:numPr>
              <w:rPr>
                <w:rFonts w:ascii="Times New Roman" w:hAnsi="Times New Roman" w:cs="Times New Roman"/>
                <w:sz w:val="24"/>
                <w:szCs w:val="24"/>
              </w:rPr>
            </w:pPr>
            <w:r w:rsidRPr="00EC5C51">
              <w:rPr>
                <w:rFonts w:ascii="Times New Roman" w:hAnsi="Times New Roman" w:cs="Times New Roman"/>
                <w:i/>
                <w:sz w:val="24"/>
                <w:szCs w:val="24"/>
              </w:rPr>
              <w:t xml:space="preserve">Indication prise en charge au titre de </w:t>
            </w:r>
            <w:proofErr w:type="spellStart"/>
            <w:r w:rsidRPr="00EC5C51">
              <w:rPr>
                <w:rFonts w:ascii="Times New Roman" w:hAnsi="Times New Roman" w:cs="Times New Roman"/>
                <w:i/>
                <w:sz w:val="24"/>
                <w:szCs w:val="24"/>
              </w:rPr>
              <w:t>la</w:t>
            </w:r>
            <w:proofErr w:type="spellEnd"/>
            <w:r w:rsidRPr="00EC5C51">
              <w:rPr>
                <w:rFonts w:ascii="Times New Roman" w:hAnsi="Times New Roman" w:cs="Times New Roman"/>
                <w:i/>
                <w:sz w:val="24"/>
                <w:szCs w:val="24"/>
              </w:rPr>
              <w:t xml:space="preserve"> LES</w:t>
            </w:r>
            <w:r w:rsidRPr="00822D6F">
              <w:rPr>
                <w:rFonts w:ascii="Times New Roman" w:hAnsi="Times New Roman" w:cs="Times New Roman"/>
                <w:sz w:val="24"/>
                <w:szCs w:val="24"/>
              </w:rPr>
              <w:t xml:space="preserve"> : Monothérapie dans le traitement des patients adultes atteints d’un cancer bronchique non à petites cellules (CBNPC) localement avancé, non opérable, et dont la maladie n’a pas progressé après une </w:t>
            </w:r>
            <w:proofErr w:type="spellStart"/>
            <w:r w:rsidRPr="00822D6F">
              <w:rPr>
                <w:rFonts w:ascii="Times New Roman" w:hAnsi="Times New Roman" w:cs="Times New Roman"/>
                <w:sz w:val="24"/>
                <w:szCs w:val="24"/>
              </w:rPr>
              <w:t>chimioradiothérapie</w:t>
            </w:r>
            <w:proofErr w:type="spellEnd"/>
            <w:r w:rsidRPr="00822D6F">
              <w:rPr>
                <w:rFonts w:ascii="Times New Roman" w:hAnsi="Times New Roman" w:cs="Times New Roman"/>
                <w:sz w:val="24"/>
                <w:szCs w:val="24"/>
              </w:rPr>
              <w:t xml:space="preserve"> à base de platine dont les tumeurs expriment </w:t>
            </w:r>
            <w:r w:rsidRPr="00EC5C51">
              <w:rPr>
                <w:rFonts w:ascii="Times New Roman" w:hAnsi="Times New Roman" w:cs="Times New Roman"/>
                <w:sz w:val="24"/>
                <w:szCs w:val="24"/>
                <w:u w:val="single"/>
              </w:rPr>
              <w:t>PD-L1 ≥ 1% des cellules tumorales.</w:t>
            </w:r>
          </w:p>
          <w:p w14:paraId="14F4B63C" w14:textId="77777777" w:rsidR="00EC5C51" w:rsidRDefault="00EC5C51" w:rsidP="00BF51E9">
            <w:pPr>
              <w:jc w:val="both"/>
              <w:rPr>
                <w:rFonts w:ascii="Times New Roman" w:hAnsi="Times New Roman" w:cs="Times New Roman"/>
                <w:sz w:val="24"/>
                <w:szCs w:val="24"/>
              </w:rPr>
            </w:pPr>
          </w:p>
          <w:p w14:paraId="0AFFDC2A" w14:textId="77777777" w:rsidR="00EC5C51" w:rsidRDefault="00EC5C51" w:rsidP="00EC5C51">
            <w:pPr>
              <w:jc w:val="both"/>
              <w:rPr>
                <w:rFonts w:ascii="Times New Roman" w:hAnsi="Times New Roman" w:cs="Times New Roman"/>
                <w:sz w:val="24"/>
                <w:szCs w:val="24"/>
              </w:rPr>
            </w:pPr>
            <w:r>
              <w:rPr>
                <w:rFonts w:ascii="Times New Roman" w:hAnsi="Times New Roman" w:cs="Times New Roman"/>
                <w:sz w:val="24"/>
                <w:szCs w:val="24"/>
              </w:rPr>
              <w:t xml:space="preserve">Nous appelons donc à la plus grande vigilance quant aux données de codage qui sont remontées. </w:t>
            </w:r>
          </w:p>
        </w:tc>
      </w:tr>
    </w:tbl>
    <w:p w14:paraId="6F3E1E07" w14:textId="77777777" w:rsidR="00822D6F" w:rsidRDefault="00822D6F" w:rsidP="00BF51E9">
      <w:pPr>
        <w:spacing w:after="0" w:line="240" w:lineRule="auto"/>
        <w:jc w:val="both"/>
        <w:rPr>
          <w:rFonts w:ascii="Times New Roman" w:hAnsi="Times New Roman" w:cs="Times New Roman"/>
          <w:sz w:val="24"/>
          <w:szCs w:val="24"/>
        </w:rPr>
      </w:pPr>
    </w:p>
    <w:p w14:paraId="3D12DAD8" w14:textId="77777777" w:rsidR="00371B1A" w:rsidRPr="00371B1A" w:rsidRDefault="00371B1A" w:rsidP="00BF51E9">
      <w:pPr>
        <w:spacing w:after="0" w:line="240" w:lineRule="auto"/>
        <w:jc w:val="both"/>
        <w:rPr>
          <w:rFonts w:ascii="Times New Roman" w:hAnsi="Times New Roman" w:cs="Times New Roman"/>
          <w:b/>
          <w:sz w:val="24"/>
          <w:szCs w:val="24"/>
        </w:rPr>
      </w:pPr>
      <w:r w:rsidRPr="00371B1A">
        <w:rPr>
          <w:rFonts w:ascii="Times New Roman" w:hAnsi="Times New Roman" w:cs="Times New Roman"/>
          <w:b/>
          <w:sz w:val="24"/>
          <w:szCs w:val="24"/>
        </w:rPr>
        <w:t>2/ Laboratoire</w:t>
      </w:r>
    </w:p>
    <w:p w14:paraId="17626451" w14:textId="77777777" w:rsidR="00371B1A" w:rsidRDefault="004A3270" w:rsidP="00BF51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Cette colonne renseigne le nom du l</w:t>
      </w:r>
      <w:r w:rsidR="0033760F">
        <w:rPr>
          <w:rFonts w:ascii="Times New Roman" w:hAnsi="Times New Roman" w:cs="Times New Roman"/>
          <w:sz w:val="24"/>
          <w:szCs w:val="24"/>
        </w:rPr>
        <w:t>aboratoire titulaire de l’AMM ou exploitant</w:t>
      </w:r>
      <w:r w:rsidR="00967DC4">
        <w:rPr>
          <w:rFonts w:ascii="Times New Roman" w:hAnsi="Times New Roman" w:cs="Times New Roman"/>
          <w:sz w:val="24"/>
          <w:szCs w:val="24"/>
        </w:rPr>
        <w:t xml:space="preserve"> </w:t>
      </w:r>
      <w:r>
        <w:rPr>
          <w:rFonts w:ascii="Times New Roman" w:hAnsi="Times New Roman" w:cs="Times New Roman"/>
          <w:sz w:val="24"/>
          <w:szCs w:val="24"/>
        </w:rPr>
        <w:t>tel qu’</w:t>
      </w:r>
      <w:r w:rsidR="0033760F">
        <w:rPr>
          <w:rFonts w:ascii="Times New Roman" w:hAnsi="Times New Roman" w:cs="Times New Roman"/>
          <w:sz w:val="24"/>
          <w:szCs w:val="24"/>
        </w:rPr>
        <w:t>indiqué sur le JO d’inscription.</w:t>
      </w:r>
    </w:p>
    <w:p w14:paraId="34AF34B8" w14:textId="77777777" w:rsidR="000D4324" w:rsidRDefault="000D4324" w:rsidP="00BF51E9">
      <w:pPr>
        <w:spacing w:after="0" w:line="240" w:lineRule="auto"/>
        <w:jc w:val="both"/>
        <w:rPr>
          <w:rFonts w:ascii="Times New Roman" w:hAnsi="Times New Roman" w:cs="Times New Roman"/>
          <w:b/>
          <w:sz w:val="24"/>
          <w:szCs w:val="24"/>
        </w:rPr>
      </w:pPr>
    </w:p>
    <w:p w14:paraId="408640A6" w14:textId="77777777" w:rsidR="00371B1A" w:rsidRPr="00371B1A" w:rsidRDefault="000D4324" w:rsidP="00BF51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371B1A" w:rsidRPr="00371B1A">
        <w:rPr>
          <w:rFonts w:ascii="Times New Roman" w:hAnsi="Times New Roman" w:cs="Times New Roman"/>
          <w:b/>
          <w:sz w:val="24"/>
          <w:szCs w:val="24"/>
        </w:rPr>
        <w:t>/ D</w:t>
      </w:r>
      <w:r w:rsidR="007A2B25">
        <w:rPr>
          <w:rFonts w:ascii="Times New Roman" w:hAnsi="Times New Roman" w:cs="Times New Roman"/>
          <w:b/>
          <w:sz w:val="24"/>
          <w:szCs w:val="24"/>
        </w:rPr>
        <w:t xml:space="preserve">énomination </w:t>
      </w:r>
      <w:r w:rsidR="00371B1A" w:rsidRPr="00371B1A">
        <w:rPr>
          <w:rFonts w:ascii="Times New Roman" w:hAnsi="Times New Roman" w:cs="Times New Roman"/>
          <w:b/>
          <w:sz w:val="24"/>
          <w:szCs w:val="24"/>
        </w:rPr>
        <w:t>C</w:t>
      </w:r>
      <w:r w:rsidR="007A2B25">
        <w:rPr>
          <w:rFonts w:ascii="Times New Roman" w:hAnsi="Times New Roman" w:cs="Times New Roman"/>
          <w:b/>
          <w:sz w:val="24"/>
          <w:szCs w:val="24"/>
        </w:rPr>
        <w:t xml:space="preserve">ommune </w:t>
      </w:r>
      <w:r w:rsidR="00371B1A" w:rsidRPr="00371B1A">
        <w:rPr>
          <w:rFonts w:ascii="Times New Roman" w:hAnsi="Times New Roman" w:cs="Times New Roman"/>
          <w:b/>
          <w:sz w:val="24"/>
          <w:szCs w:val="24"/>
        </w:rPr>
        <w:t>I</w:t>
      </w:r>
      <w:r w:rsidR="007A2B25">
        <w:rPr>
          <w:rFonts w:ascii="Times New Roman" w:hAnsi="Times New Roman" w:cs="Times New Roman"/>
          <w:b/>
          <w:sz w:val="24"/>
          <w:szCs w:val="24"/>
        </w:rPr>
        <w:t>nternationale</w:t>
      </w:r>
    </w:p>
    <w:p w14:paraId="796AF6EB" w14:textId="77777777" w:rsidR="00496C93" w:rsidRDefault="004A3270" w:rsidP="00BF51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Cette colonne renseigne l</w:t>
      </w:r>
      <w:r w:rsidR="00FE6E90">
        <w:rPr>
          <w:rFonts w:ascii="Times New Roman" w:hAnsi="Times New Roman" w:cs="Times New Roman"/>
          <w:sz w:val="24"/>
          <w:szCs w:val="24"/>
        </w:rPr>
        <w:t xml:space="preserve">a DCI telle que mentionnée au </w:t>
      </w:r>
      <w:r w:rsidR="000D4324">
        <w:rPr>
          <w:rFonts w:ascii="Times New Roman" w:hAnsi="Times New Roman" w:cs="Times New Roman"/>
          <w:sz w:val="24"/>
          <w:szCs w:val="24"/>
        </w:rPr>
        <w:t>JO d’inscription.</w:t>
      </w:r>
    </w:p>
    <w:p w14:paraId="178F94AD" w14:textId="77777777" w:rsidR="00371B1A" w:rsidRDefault="00371B1A" w:rsidP="00BF51E9">
      <w:pPr>
        <w:spacing w:after="0" w:line="240" w:lineRule="auto"/>
        <w:jc w:val="both"/>
        <w:rPr>
          <w:rFonts w:ascii="Times New Roman" w:hAnsi="Times New Roman" w:cs="Times New Roman"/>
          <w:sz w:val="24"/>
          <w:szCs w:val="24"/>
        </w:rPr>
      </w:pPr>
    </w:p>
    <w:p w14:paraId="7A477BB3" w14:textId="77777777" w:rsidR="00371B1A" w:rsidRPr="00371B1A" w:rsidRDefault="000D4324" w:rsidP="00BF51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371B1A" w:rsidRPr="00371B1A">
        <w:rPr>
          <w:rFonts w:ascii="Times New Roman" w:hAnsi="Times New Roman" w:cs="Times New Roman"/>
          <w:b/>
          <w:sz w:val="24"/>
          <w:szCs w:val="24"/>
        </w:rPr>
        <w:t xml:space="preserve">/ </w:t>
      </w:r>
      <w:r w:rsidR="00FE6E90">
        <w:rPr>
          <w:rFonts w:ascii="Times New Roman" w:hAnsi="Times New Roman" w:cs="Times New Roman"/>
          <w:b/>
          <w:sz w:val="24"/>
          <w:szCs w:val="24"/>
        </w:rPr>
        <w:t>Nom de s</w:t>
      </w:r>
      <w:r w:rsidR="00371B1A" w:rsidRPr="00371B1A">
        <w:rPr>
          <w:rFonts w:ascii="Times New Roman" w:hAnsi="Times New Roman" w:cs="Times New Roman"/>
          <w:b/>
          <w:sz w:val="24"/>
          <w:szCs w:val="24"/>
        </w:rPr>
        <w:t>pécialité</w:t>
      </w:r>
    </w:p>
    <w:p w14:paraId="23616D7A" w14:textId="77777777" w:rsidR="00371B1A" w:rsidRDefault="004A3270" w:rsidP="00BF51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Cette colonne renseigne l</w:t>
      </w:r>
      <w:r w:rsidR="00496C93">
        <w:rPr>
          <w:rFonts w:ascii="Times New Roman" w:hAnsi="Times New Roman" w:cs="Times New Roman"/>
          <w:sz w:val="24"/>
          <w:szCs w:val="24"/>
        </w:rPr>
        <w:t>e nom de la spécialité, tel qu’inscrit au JO.</w:t>
      </w:r>
    </w:p>
    <w:p w14:paraId="6BB1A714" w14:textId="77777777" w:rsidR="00822D6F" w:rsidRDefault="00822D6F" w:rsidP="00BF51E9">
      <w:pPr>
        <w:spacing w:after="0" w:line="240" w:lineRule="auto"/>
        <w:jc w:val="both"/>
        <w:rPr>
          <w:rFonts w:ascii="Times New Roman" w:hAnsi="Times New Roman" w:cs="Times New Roman"/>
          <w:sz w:val="24"/>
          <w:szCs w:val="24"/>
        </w:rPr>
      </w:pPr>
    </w:p>
    <w:p w14:paraId="1963883A" w14:textId="77777777" w:rsidR="00822D6F" w:rsidRPr="00822D6F" w:rsidRDefault="00822D6F" w:rsidP="00BF51E9">
      <w:pPr>
        <w:spacing w:after="0" w:line="240" w:lineRule="auto"/>
        <w:jc w:val="both"/>
        <w:rPr>
          <w:rFonts w:ascii="Times New Roman" w:hAnsi="Times New Roman" w:cs="Times New Roman"/>
          <w:b/>
          <w:sz w:val="24"/>
          <w:szCs w:val="24"/>
        </w:rPr>
      </w:pPr>
      <w:r w:rsidRPr="00822D6F">
        <w:rPr>
          <w:rFonts w:ascii="Times New Roman" w:hAnsi="Times New Roman" w:cs="Times New Roman"/>
          <w:b/>
          <w:sz w:val="24"/>
          <w:szCs w:val="24"/>
        </w:rPr>
        <w:t>5/ Code</w:t>
      </w:r>
      <w:r>
        <w:rPr>
          <w:rFonts w:ascii="Times New Roman" w:hAnsi="Times New Roman" w:cs="Times New Roman"/>
          <w:b/>
          <w:sz w:val="24"/>
          <w:szCs w:val="24"/>
        </w:rPr>
        <w:t>s</w:t>
      </w:r>
      <w:r w:rsidRPr="00822D6F">
        <w:rPr>
          <w:rFonts w:ascii="Times New Roman" w:hAnsi="Times New Roman" w:cs="Times New Roman"/>
          <w:b/>
          <w:sz w:val="24"/>
          <w:szCs w:val="24"/>
        </w:rPr>
        <w:t xml:space="preserve"> UCD </w:t>
      </w:r>
    </w:p>
    <w:p w14:paraId="1A6DEA85" w14:textId="77777777" w:rsidR="00822D6F" w:rsidRDefault="00822D6F" w:rsidP="00822D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Ces 2 colonnes (code UCD 7 chiffres et code </w:t>
      </w:r>
      <w:r w:rsidR="00FD465C">
        <w:rPr>
          <w:rFonts w:ascii="Times New Roman" w:hAnsi="Times New Roman" w:cs="Times New Roman"/>
          <w:sz w:val="24"/>
          <w:szCs w:val="24"/>
        </w:rPr>
        <w:t>UCD 13 chiffres) renseignent les</w:t>
      </w:r>
      <w:r>
        <w:rPr>
          <w:rFonts w:ascii="Times New Roman" w:hAnsi="Times New Roman" w:cs="Times New Roman"/>
          <w:sz w:val="24"/>
          <w:szCs w:val="24"/>
        </w:rPr>
        <w:t xml:space="preserve"> codes UCD de la spécialité.</w:t>
      </w:r>
    </w:p>
    <w:p w14:paraId="05CAB4CE" w14:textId="77777777" w:rsidR="00371B1A" w:rsidRDefault="00371B1A" w:rsidP="00BF51E9">
      <w:pPr>
        <w:spacing w:after="0" w:line="240" w:lineRule="auto"/>
        <w:jc w:val="both"/>
        <w:rPr>
          <w:rFonts w:ascii="Times New Roman" w:hAnsi="Times New Roman" w:cs="Times New Roman"/>
          <w:sz w:val="24"/>
          <w:szCs w:val="24"/>
        </w:rPr>
      </w:pPr>
    </w:p>
    <w:p w14:paraId="4C86F70F" w14:textId="77777777" w:rsidR="00371B1A" w:rsidRPr="00371B1A" w:rsidRDefault="000D4324" w:rsidP="00BF51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371B1A" w:rsidRPr="00371B1A">
        <w:rPr>
          <w:rFonts w:ascii="Times New Roman" w:hAnsi="Times New Roman" w:cs="Times New Roman"/>
          <w:b/>
          <w:sz w:val="24"/>
          <w:szCs w:val="24"/>
        </w:rPr>
        <w:t xml:space="preserve">/ Indications </w:t>
      </w:r>
      <w:r>
        <w:rPr>
          <w:rFonts w:ascii="Times New Roman" w:hAnsi="Times New Roman" w:cs="Times New Roman"/>
          <w:b/>
          <w:sz w:val="24"/>
          <w:szCs w:val="24"/>
        </w:rPr>
        <w:t>thérapeutiques inscrites aux collectivités</w:t>
      </w:r>
    </w:p>
    <w:p w14:paraId="70C0EB70" w14:textId="77777777" w:rsidR="00371B1A" w:rsidRDefault="004A3270" w:rsidP="00BF51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Cette colonne renseigne l</w:t>
      </w:r>
      <w:r w:rsidR="00496C93">
        <w:rPr>
          <w:rFonts w:ascii="Times New Roman" w:hAnsi="Times New Roman" w:cs="Times New Roman"/>
          <w:sz w:val="24"/>
          <w:szCs w:val="24"/>
        </w:rPr>
        <w:t>e libellé de l’indication</w:t>
      </w:r>
      <w:r w:rsidR="000D4324">
        <w:rPr>
          <w:rFonts w:ascii="Times New Roman" w:hAnsi="Times New Roman" w:cs="Times New Roman"/>
          <w:sz w:val="24"/>
          <w:szCs w:val="24"/>
        </w:rPr>
        <w:t xml:space="preserve"> thérapeutique</w:t>
      </w:r>
      <w:r w:rsidR="00496C93">
        <w:rPr>
          <w:rFonts w:ascii="Times New Roman" w:hAnsi="Times New Roman" w:cs="Times New Roman"/>
          <w:sz w:val="24"/>
          <w:szCs w:val="24"/>
        </w:rPr>
        <w:t>, tel qu’inscrit au JO.</w:t>
      </w:r>
    </w:p>
    <w:p w14:paraId="34152498" w14:textId="77777777" w:rsidR="00496C93" w:rsidRDefault="00496C93" w:rsidP="00BF51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Pour un produit dont au moins </w:t>
      </w:r>
      <w:r w:rsidR="00AD3142">
        <w:rPr>
          <w:rFonts w:ascii="Times New Roman" w:hAnsi="Times New Roman" w:cs="Times New Roman"/>
          <w:sz w:val="24"/>
          <w:szCs w:val="24"/>
        </w:rPr>
        <w:t>l’</w:t>
      </w:r>
      <w:r>
        <w:rPr>
          <w:rFonts w:ascii="Times New Roman" w:hAnsi="Times New Roman" w:cs="Times New Roman"/>
          <w:sz w:val="24"/>
          <w:szCs w:val="24"/>
        </w:rPr>
        <w:t>une des indications est inscrite en sus, l’ensemble des indications inscrites aux collectivités sont mentionnées</w:t>
      </w:r>
      <w:r w:rsidR="00FE6E90">
        <w:rPr>
          <w:rFonts w:ascii="Times New Roman" w:hAnsi="Times New Roman" w:cs="Times New Roman"/>
          <w:sz w:val="24"/>
          <w:szCs w:val="24"/>
        </w:rPr>
        <w:t xml:space="preserve"> ; </w:t>
      </w:r>
      <w:r>
        <w:rPr>
          <w:rFonts w:ascii="Times New Roman" w:hAnsi="Times New Roman" w:cs="Times New Roman"/>
          <w:sz w:val="24"/>
          <w:szCs w:val="24"/>
        </w:rPr>
        <w:t>la colonne suivante mentionn</w:t>
      </w:r>
      <w:r w:rsidR="00FE6E90">
        <w:rPr>
          <w:rFonts w:ascii="Times New Roman" w:hAnsi="Times New Roman" w:cs="Times New Roman"/>
          <w:sz w:val="24"/>
          <w:szCs w:val="24"/>
        </w:rPr>
        <w:t>e</w:t>
      </w:r>
      <w:r>
        <w:rPr>
          <w:rFonts w:ascii="Times New Roman" w:hAnsi="Times New Roman" w:cs="Times New Roman"/>
          <w:sz w:val="24"/>
          <w:szCs w:val="24"/>
        </w:rPr>
        <w:t xml:space="preserve"> si </w:t>
      </w:r>
      <w:r w:rsidR="00FE6E90">
        <w:rPr>
          <w:rFonts w:ascii="Times New Roman" w:hAnsi="Times New Roman" w:cs="Times New Roman"/>
          <w:sz w:val="24"/>
          <w:szCs w:val="24"/>
        </w:rPr>
        <w:t>les autres</w:t>
      </w:r>
      <w:r w:rsidR="00967DC4">
        <w:rPr>
          <w:rFonts w:ascii="Times New Roman" w:hAnsi="Times New Roman" w:cs="Times New Roman"/>
          <w:sz w:val="24"/>
          <w:szCs w:val="24"/>
        </w:rPr>
        <w:t xml:space="preserve"> indication</w:t>
      </w:r>
      <w:r w:rsidR="00FE6E90">
        <w:rPr>
          <w:rFonts w:ascii="Times New Roman" w:hAnsi="Times New Roman" w:cs="Times New Roman"/>
          <w:sz w:val="24"/>
          <w:szCs w:val="24"/>
        </w:rPr>
        <w:t>s</w:t>
      </w:r>
      <w:r w:rsidR="00FD465C">
        <w:rPr>
          <w:rFonts w:ascii="Times New Roman" w:hAnsi="Times New Roman" w:cs="Times New Roman"/>
          <w:sz w:val="24"/>
          <w:szCs w:val="24"/>
        </w:rPr>
        <w:t xml:space="preserve"> sont inscrites ou non en sus</w:t>
      </w:r>
      <w:r>
        <w:rPr>
          <w:rFonts w:ascii="Times New Roman" w:hAnsi="Times New Roman" w:cs="Times New Roman"/>
          <w:sz w:val="24"/>
          <w:szCs w:val="24"/>
        </w:rPr>
        <w:t>.</w:t>
      </w:r>
    </w:p>
    <w:p w14:paraId="2A29AD44" w14:textId="77777777" w:rsidR="00371B1A" w:rsidRDefault="00371B1A" w:rsidP="00BF51E9">
      <w:pPr>
        <w:spacing w:after="0" w:line="240" w:lineRule="auto"/>
        <w:jc w:val="both"/>
        <w:rPr>
          <w:rFonts w:ascii="Times New Roman" w:hAnsi="Times New Roman" w:cs="Times New Roman"/>
          <w:sz w:val="24"/>
          <w:szCs w:val="24"/>
        </w:rPr>
      </w:pPr>
    </w:p>
    <w:p w14:paraId="1BE8DF93" w14:textId="77777777" w:rsidR="00371B1A" w:rsidRPr="00371B1A" w:rsidRDefault="000D4324" w:rsidP="00BF51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r w:rsidR="00371B1A" w:rsidRPr="00371B1A">
        <w:rPr>
          <w:rFonts w:ascii="Times New Roman" w:hAnsi="Times New Roman" w:cs="Times New Roman"/>
          <w:b/>
          <w:sz w:val="24"/>
          <w:szCs w:val="24"/>
        </w:rPr>
        <w:t>/ Inscription liste en sus</w:t>
      </w:r>
    </w:p>
    <w:p w14:paraId="4FD5C406" w14:textId="77777777" w:rsidR="005A2BCD" w:rsidRDefault="00FE6E90" w:rsidP="00BF51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Cette colonne renseigne pour chaque couple spécialité/indication son</w:t>
      </w:r>
      <w:r w:rsidR="00496C93">
        <w:rPr>
          <w:rFonts w:ascii="Times New Roman" w:hAnsi="Times New Roman" w:cs="Times New Roman"/>
          <w:sz w:val="24"/>
          <w:szCs w:val="24"/>
        </w:rPr>
        <w:t xml:space="preserve"> statut vis-à-vis de la liste en sus : </w:t>
      </w:r>
    </w:p>
    <w:p w14:paraId="56CDE7CE" w14:textId="77777777" w:rsidR="005A2BCD" w:rsidRDefault="005A2BCD" w:rsidP="00BF51E9">
      <w:pPr>
        <w:spacing w:after="0" w:line="24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3823"/>
        <w:gridCol w:w="5919"/>
      </w:tblGrid>
      <w:tr w:rsidR="005A2BCD" w14:paraId="315ED6A6" w14:textId="77777777" w:rsidTr="00A8145F">
        <w:tc>
          <w:tcPr>
            <w:tcW w:w="3823" w:type="dxa"/>
          </w:tcPr>
          <w:p w14:paraId="3442AA92" w14:textId="77777777" w:rsidR="005A2BCD" w:rsidRPr="005A2BCD" w:rsidRDefault="005A2BCD" w:rsidP="00E933FF">
            <w:pPr>
              <w:jc w:val="both"/>
              <w:rPr>
                <w:rFonts w:ascii="Times New Roman" w:hAnsi="Times New Roman" w:cs="Times New Roman"/>
                <w:b/>
                <w:sz w:val="24"/>
                <w:szCs w:val="24"/>
              </w:rPr>
            </w:pPr>
            <w:r w:rsidRPr="005A2BCD">
              <w:rPr>
                <w:rFonts w:ascii="Times New Roman" w:hAnsi="Times New Roman" w:cs="Times New Roman"/>
                <w:b/>
                <w:sz w:val="24"/>
                <w:szCs w:val="24"/>
              </w:rPr>
              <w:lastRenderedPageBreak/>
              <w:t>Modalités référentiel</w:t>
            </w:r>
          </w:p>
        </w:tc>
        <w:tc>
          <w:tcPr>
            <w:tcW w:w="5919" w:type="dxa"/>
          </w:tcPr>
          <w:p w14:paraId="7C96699E" w14:textId="77777777" w:rsidR="005A2BCD" w:rsidRPr="005A2BCD" w:rsidRDefault="005A2BCD" w:rsidP="00E933FF">
            <w:pPr>
              <w:jc w:val="both"/>
              <w:rPr>
                <w:rFonts w:ascii="Times New Roman" w:hAnsi="Times New Roman" w:cs="Times New Roman"/>
                <w:b/>
                <w:sz w:val="24"/>
                <w:szCs w:val="24"/>
              </w:rPr>
            </w:pPr>
            <w:r w:rsidRPr="005A2BCD">
              <w:rPr>
                <w:rFonts w:ascii="Times New Roman" w:hAnsi="Times New Roman" w:cs="Times New Roman"/>
                <w:b/>
                <w:sz w:val="24"/>
                <w:szCs w:val="24"/>
              </w:rPr>
              <w:t>Statut vis-à-vis de la liste en sus</w:t>
            </w:r>
          </w:p>
        </w:tc>
      </w:tr>
      <w:tr w:rsidR="005A2BCD" w14:paraId="4EDCFD73" w14:textId="77777777" w:rsidTr="00A8145F">
        <w:tc>
          <w:tcPr>
            <w:tcW w:w="3823" w:type="dxa"/>
          </w:tcPr>
          <w:p w14:paraId="1E5D68B6" w14:textId="77777777" w:rsidR="005A2BCD" w:rsidRDefault="005A2BCD" w:rsidP="00E933FF">
            <w:pPr>
              <w:jc w:val="both"/>
              <w:rPr>
                <w:rFonts w:ascii="Times New Roman" w:hAnsi="Times New Roman" w:cs="Times New Roman"/>
                <w:sz w:val="24"/>
                <w:szCs w:val="24"/>
              </w:rPr>
            </w:pPr>
            <w:r>
              <w:rPr>
                <w:rFonts w:ascii="Times New Roman" w:hAnsi="Times New Roman" w:cs="Times New Roman"/>
                <w:sz w:val="24"/>
                <w:szCs w:val="24"/>
              </w:rPr>
              <w:t>OUI</w:t>
            </w:r>
          </w:p>
        </w:tc>
        <w:tc>
          <w:tcPr>
            <w:tcW w:w="5919" w:type="dxa"/>
          </w:tcPr>
          <w:p w14:paraId="0086CFC2" w14:textId="77777777" w:rsidR="005A2BCD" w:rsidRDefault="005A2BCD" w:rsidP="00E933FF">
            <w:pPr>
              <w:jc w:val="both"/>
              <w:rPr>
                <w:rFonts w:ascii="Times New Roman" w:hAnsi="Times New Roman" w:cs="Times New Roman"/>
                <w:sz w:val="24"/>
                <w:szCs w:val="24"/>
              </w:rPr>
            </w:pPr>
            <w:r>
              <w:rPr>
                <w:rFonts w:ascii="Times New Roman" w:hAnsi="Times New Roman" w:cs="Times New Roman"/>
                <w:sz w:val="24"/>
                <w:szCs w:val="24"/>
              </w:rPr>
              <w:t>L’indication</w:t>
            </w:r>
            <w:r w:rsidR="005E6C96">
              <w:rPr>
                <w:rFonts w:ascii="Times New Roman" w:hAnsi="Times New Roman" w:cs="Times New Roman"/>
                <w:sz w:val="24"/>
                <w:szCs w:val="24"/>
              </w:rPr>
              <w:t xml:space="preserve"> de la spécialité</w:t>
            </w:r>
            <w:r>
              <w:rPr>
                <w:rFonts w:ascii="Times New Roman" w:hAnsi="Times New Roman" w:cs="Times New Roman"/>
                <w:sz w:val="24"/>
                <w:szCs w:val="24"/>
              </w:rPr>
              <w:t xml:space="preserve"> considérée est </w:t>
            </w:r>
            <w:r w:rsidR="005E6C96">
              <w:rPr>
                <w:rFonts w:ascii="Times New Roman" w:hAnsi="Times New Roman" w:cs="Times New Roman"/>
                <w:sz w:val="24"/>
                <w:szCs w:val="24"/>
              </w:rPr>
              <w:t>inscrite sur la liste</w:t>
            </w:r>
            <w:r>
              <w:rPr>
                <w:rFonts w:ascii="Times New Roman" w:hAnsi="Times New Roman" w:cs="Times New Roman"/>
                <w:sz w:val="24"/>
                <w:szCs w:val="24"/>
              </w:rPr>
              <w:t xml:space="preserve"> en sus</w:t>
            </w:r>
          </w:p>
        </w:tc>
      </w:tr>
      <w:tr w:rsidR="005A2BCD" w14:paraId="592D7D50" w14:textId="77777777" w:rsidTr="00A8145F">
        <w:tc>
          <w:tcPr>
            <w:tcW w:w="3823" w:type="dxa"/>
          </w:tcPr>
          <w:p w14:paraId="0EF3F28F" w14:textId="77777777" w:rsidR="005A2BCD" w:rsidRDefault="005A2BCD" w:rsidP="00E933FF">
            <w:pPr>
              <w:jc w:val="both"/>
              <w:rPr>
                <w:rFonts w:ascii="Times New Roman" w:hAnsi="Times New Roman" w:cs="Times New Roman"/>
                <w:sz w:val="24"/>
                <w:szCs w:val="24"/>
              </w:rPr>
            </w:pPr>
            <w:r>
              <w:rPr>
                <w:rFonts w:ascii="Times New Roman" w:hAnsi="Times New Roman" w:cs="Times New Roman"/>
                <w:sz w:val="24"/>
                <w:szCs w:val="24"/>
              </w:rPr>
              <w:t>NON</w:t>
            </w:r>
          </w:p>
        </w:tc>
        <w:tc>
          <w:tcPr>
            <w:tcW w:w="5919" w:type="dxa"/>
          </w:tcPr>
          <w:p w14:paraId="3FAD055B" w14:textId="77777777" w:rsidR="005A2BCD" w:rsidRDefault="005E6C96" w:rsidP="00E933FF">
            <w:pPr>
              <w:jc w:val="both"/>
              <w:rPr>
                <w:rFonts w:ascii="Times New Roman" w:hAnsi="Times New Roman" w:cs="Times New Roman"/>
                <w:sz w:val="24"/>
                <w:szCs w:val="24"/>
              </w:rPr>
            </w:pPr>
            <w:r>
              <w:rPr>
                <w:rFonts w:ascii="Times New Roman" w:hAnsi="Times New Roman" w:cs="Times New Roman"/>
                <w:sz w:val="24"/>
                <w:szCs w:val="24"/>
              </w:rPr>
              <w:t>L’indication de la spécialité considérée n’est pas inscrite sur la liste en sus</w:t>
            </w:r>
            <w:r w:rsidR="00E73C42">
              <w:rPr>
                <w:rFonts w:ascii="Times New Roman" w:hAnsi="Times New Roman" w:cs="Times New Roman"/>
                <w:sz w:val="24"/>
                <w:szCs w:val="24"/>
              </w:rPr>
              <w:t>.</w:t>
            </w:r>
          </w:p>
          <w:p w14:paraId="6BB350BE" w14:textId="77777777" w:rsidR="00E73C42" w:rsidRDefault="00E73C42" w:rsidP="00E933FF">
            <w:pPr>
              <w:jc w:val="both"/>
              <w:rPr>
                <w:rFonts w:ascii="Times New Roman" w:hAnsi="Times New Roman" w:cs="Times New Roman"/>
                <w:sz w:val="24"/>
                <w:szCs w:val="24"/>
              </w:rPr>
            </w:pPr>
            <w:r>
              <w:rPr>
                <w:rFonts w:ascii="Times New Roman" w:hAnsi="Times New Roman" w:cs="Times New Roman"/>
                <w:sz w:val="24"/>
                <w:szCs w:val="24"/>
              </w:rPr>
              <w:t>Lorsque l’indication de la spécialité comporte une date de fin de prise en charge, l’indication considéré a été radiée de la liste en sus.</w:t>
            </w:r>
          </w:p>
        </w:tc>
      </w:tr>
      <w:tr w:rsidR="00E73C42" w14:paraId="6DAE697E" w14:textId="77777777" w:rsidTr="00A8145F">
        <w:tc>
          <w:tcPr>
            <w:tcW w:w="3823" w:type="dxa"/>
          </w:tcPr>
          <w:p w14:paraId="412D3C4E" w14:textId="77777777" w:rsidR="00E73C42" w:rsidRDefault="00E73C42" w:rsidP="00157BF5">
            <w:pPr>
              <w:jc w:val="both"/>
              <w:rPr>
                <w:rFonts w:ascii="Times New Roman" w:hAnsi="Times New Roman" w:cs="Times New Roman"/>
                <w:sz w:val="24"/>
                <w:szCs w:val="24"/>
              </w:rPr>
            </w:pPr>
            <w:r>
              <w:rPr>
                <w:rFonts w:ascii="Times New Roman" w:hAnsi="Times New Roman" w:cs="Times New Roman"/>
                <w:sz w:val="24"/>
                <w:szCs w:val="24"/>
              </w:rPr>
              <w:t>*</w:t>
            </w:r>
          </w:p>
        </w:tc>
        <w:tc>
          <w:tcPr>
            <w:tcW w:w="5919" w:type="dxa"/>
          </w:tcPr>
          <w:p w14:paraId="7F6F58CB" w14:textId="7719611B" w:rsidR="00E73C42" w:rsidRDefault="00E73C42" w:rsidP="00FD465C">
            <w:pPr>
              <w:jc w:val="both"/>
              <w:rPr>
                <w:rFonts w:ascii="Times New Roman" w:hAnsi="Times New Roman" w:cs="Times New Roman"/>
                <w:sz w:val="24"/>
                <w:szCs w:val="24"/>
              </w:rPr>
            </w:pPr>
            <w:r>
              <w:rPr>
                <w:rFonts w:ascii="Times New Roman" w:hAnsi="Times New Roman" w:cs="Times New Roman"/>
                <w:sz w:val="24"/>
                <w:szCs w:val="24"/>
              </w:rPr>
              <w:t>Concerne les codes indications « I999999 »</w:t>
            </w:r>
            <w:r w:rsidR="00A8145F">
              <w:rPr>
                <w:rFonts w:ascii="Times New Roman" w:hAnsi="Times New Roman" w:cs="Times New Roman"/>
                <w:sz w:val="24"/>
                <w:szCs w:val="24"/>
              </w:rPr>
              <w:t>, « I999998 »</w:t>
            </w:r>
            <w:r w:rsidR="00282C64">
              <w:rPr>
                <w:rFonts w:ascii="Times New Roman" w:hAnsi="Times New Roman" w:cs="Times New Roman"/>
                <w:sz w:val="24"/>
                <w:szCs w:val="24"/>
              </w:rPr>
              <w:t>, « I999997 »</w:t>
            </w:r>
            <w:r>
              <w:rPr>
                <w:rFonts w:ascii="Times New Roman" w:hAnsi="Times New Roman" w:cs="Times New Roman"/>
                <w:sz w:val="24"/>
                <w:szCs w:val="24"/>
              </w:rPr>
              <w:t xml:space="preserve"> et « </w:t>
            </w:r>
            <w:r w:rsidR="00FD465C">
              <w:rPr>
                <w:rFonts w:ascii="Times New Roman" w:hAnsi="Times New Roman" w:cs="Times New Roman"/>
                <w:sz w:val="24"/>
                <w:szCs w:val="24"/>
              </w:rPr>
              <w:t>S999999 »</w:t>
            </w:r>
            <w:r>
              <w:rPr>
                <w:rFonts w:ascii="Times New Roman" w:hAnsi="Times New Roman" w:cs="Times New Roman"/>
                <w:sz w:val="24"/>
                <w:szCs w:val="24"/>
              </w:rPr>
              <w:t xml:space="preserve"> mentionnés au I/</w:t>
            </w:r>
          </w:p>
        </w:tc>
      </w:tr>
      <w:tr w:rsidR="009947B2" w14:paraId="604C801C" w14:textId="77777777" w:rsidTr="00A8145F">
        <w:tc>
          <w:tcPr>
            <w:tcW w:w="3823" w:type="dxa"/>
          </w:tcPr>
          <w:p w14:paraId="5711E974" w14:textId="77777777" w:rsidR="009947B2" w:rsidRDefault="009947B2" w:rsidP="001307A3">
            <w:pPr>
              <w:jc w:val="both"/>
              <w:rPr>
                <w:rFonts w:ascii="Times New Roman" w:hAnsi="Times New Roman" w:cs="Times New Roman"/>
                <w:sz w:val="24"/>
                <w:szCs w:val="24"/>
              </w:rPr>
            </w:pPr>
            <w:r>
              <w:rPr>
                <w:rFonts w:ascii="Times New Roman" w:hAnsi="Times New Roman" w:cs="Times New Roman"/>
                <w:sz w:val="24"/>
                <w:szCs w:val="24"/>
              </w:rPr>
              <w:t>**</w:t>
            </w:r>
          </w:p>
        </w:tc>
        <w:tc>
          <w:tcPr>
            <w:tcW w:w="5919" w:type="dxa"/>
          </w:tcPr>
          <w:p w14:paraId="6535E985" w14:textId="77777777" w:rsidR="009947B2" w:rsidRDefault="009947B2" w:rsidP="009947B2">
            <w:pPr>
              <w:jc w:val="both"/>
              <w:rPr>
                <w:rFonts w:ascii="Times New Roman" w:hAnsi="Times New Roman" w:cs="Times New Roman"/>
                <w:sz w:val="24"/>
                <w:szCs w:val="24"/>
              </w:rPr>
            </w:pPr>
            <w:r>
              <w:rPr>
                <w:rFonts w:ascii="Times New Roman" w:hAnsi="Times New Roman" w:cs="Times New Roman"/>
                <w:sz w:val="24"/>
                <w:szCs w:val="24"/>
              </w:rPr>
              <w:t>Concerne les codes indications des spécialités prises en charge dans le cadre de l’expérimentation liste en sus (article 51)</w:t>
            </w:r>
          </w:p>
        </w:tc>
      </w:tr>
    </w:tbl>
    <w:p w14:paraId="71DBA87B" w14:textId="77777777" w:rsidR="00371B1A" w:rsidRDefault="00371B1A" w:rsidP="00E933FF">
      <w:pPr>
        <w:spacing w:after="0" w:line="240" w:lineRule="auto"/>
        <w:jc w:val="both"/>
        <w:rPr>
          <w:rFonts w:ascii="Times New Roman" w:hAnsi="Times New Roman" w:cs="Times New Roman"/>
          <w:sz w:val="24"/>
          <w:szCs w:val="24"/>
        </w:rPr>
      </w:pPr>
    </w:p>
    <w:p w14:paraId="12DB6F9F" w14:textId="77777777" w:rsidR="00371B1A" w:rsidRPr="00371B1A" w:rsidRDefault="000D4324" w:rsidP="00E933F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371B1A" w:rsidRPr="00371B1A">
        <w:rPr>
          <w:rFonts w:ascii="Times New Roman" w:hAnsi="Times New Roman" w:cs="Times New Roman"/>
          <w:b/>
          <w:sz w:val="24"/>
          <w:szCs w:val="24"/>
        </w:rPr>
        <w:t>/ Date de début de prise en charge sur la liste en sus</w:t>
      </w:r>
    </w:p>
    <w:p w14:paraId="0755E0D6" w14:textId="260FCAAE" w:rsidR="00371B1A" w:rsidRDefault="004A3270" w:rsidP="00E933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Cette colonne renseigne l</w:t>
      </w:r>
      <w:r w:rsidR="005A2BCD">
        <w:rPr>
          <w:rFonts w:ascii="Times New Roman" w:hAnsi="Times New Roman" w:cs="Times New Roman"/>
          <w:sz w:val="24"/>
          <w:szCs w:val="24"/>
        </w:rPr>
        <w:t xml:space="preserve">a date de prise en charge </w:t>
      </w:r>
      <w:r w:rsidR="00282C64">
        <w:rPr>
          <w:rFonts w:ascii="Times New Roman" w:hAnsi="Times New Roman" w:cs="Times New Roman"/>
          <w:sz w:val="24"/>
          <w:szCs w:val="24"/>
        </w:rPr>
        <w:t xml:space="preserve">qui </w:t>
      </w:r>
      <w:r w:rsidR="005A2BCD">
        <w:rPr>
          <w:rFonts w:ascii="Times New Roman" w:hAnsi="Times New Roman" w:cs="Times New Roman"/>
          <w:sz w:val="24"/>
          <w:szCs w:val="24"/>
        </w:rPr>
        <w:t xml:space="preserve">débute le lendemain de </w:t>
      </w:r>
      <w:r w:rsidR="00282C64">
        <w:rPr>
          <w:rFonts w:ascii="Times New Roman" w:hAnsi="Times New Roman" w:cs="Times New Roman"/>
          <w:sz w:val="24"/>
          <w:szCs w:val="24"/>
        </w:rPr>
        <w:t>la</w:t>
      </w:r>
      <w:r w:rsidR="005A2BCD">
        <w:rPr>
          <w:rFonts w:ascii="Times New Roman" w:hAnsi="Times New Roman" w:cs="Times New Roman"/>
          <w:sz w:val="24"/>
          <w:szCs w:val="24"/>
        </w:rPr>
        <w:t xml:space="preserve"> date</w:t>
      </w:r>
      <w:r w:rsidR="00282C64">
        <w:rPr>
          <w:rFonts w:ascii="Times New Roman" w:hAnsi="Times New Roman" w:cs="Times New Roman"/>
          <w:sz w:val="24"/>
          <w:szCs w:val="24"/>
        </w:rPr>
        <w:t xml:space="preserve"> de publication de l’arrêté d’inscription au JO</w:t>
      </w:r>
      <w:r w:rsidR="005A2BCD">
        <w:rPr>
          <w:rFonts w:ascii="Times New Roman" w:hAnsi="Times New Roman" w:cs="Times New Roman"/>
          <w:sz w:val="24"/>
          <w:szCs w:val="24"/>
        </w:rPr>
        <w:t xml:space="preserve">. </w:t>
      </w:r>
      <w:r w:rsidR="00967DC4">
        <w:rPr>
          <w:rFonts w:ascii="Times New Roman" w:hAnsi="Times New Roman" w:cs="Times New Roman"/>
          <w:sz w:val="24"/>
          <w:szCs w:val="24"/>
        </w:rPr>
        <w:t>Toutefois</w:t>
      </w:r>
      <w:r w:rsidR="00420E35">
        <w:rPr>
          <w:rFonts w:ascii="Times New Roman" w:hAnsi="Times New Roman" w:cs="Times New Roman"/>
          <w:sz w:val="24"/>
          <w:szCs w:val="24"/>
        </w:rPr>
        <w:t>,</w:t>
      </w:r>
      <w:r w:rsidR="00967DC4">
        <w:rPr>
          <w:rFonts w:ascii="Times New Roman" w:hAnsi="Times New Roman" w:cs="Times New Roman"/>
          <w:sz w:val="24"/>
          <w:szCs w:val="24"/>
        </w:rPr>
        <w:t xml:space="preserve"> pour les indicat</w:t>
      </w:r>
      <w:r w:rsidR="00420E35">
        <w:rPr>
          <w:rFonts w:ascii="Times New Roman" w:hAnsi="Times New Roman" w:cs="Times New Roman"/>
          <w:sz w:val="24"/>
          <w:szCs w:val="24"/>
        </w:rPr>
        <w:t>i</w:t>
      </w:r>
      <w:r w:rsidR="00967DC4">
        <w:rPr>
          <w:rFonts w:ascii="Times New Roman" w:hAnsi="Times New Roman" w:cs="Times New Roman"/>
          <w:sz w:val="24"/>
          <w:szCs w:val="24"/>
        </w:rPr>
        <w:t>ons dont l’inscription est ancienne le choix a été fait de mentionner « &lt;2018 »</w:t>
      </w:r>
      <w:r w:rsidR="005E6C96">
        <w:rPr>
          <w:rFonts w:ascii="Times New Roman" w:hAnsi="Times New Roman" w:cs="Times New Roman"/>
          <w:sz w:val="24"/>
          <w:szCs w:val="24"/>
        </w:rPr>
        <w:t>.</w:t>
      </w:r>
    </w:p>
    <w:p w14:paraId="049F1C75" w14:textId="77777777" w:rsidR="00371B1A" w:rsidRDefault="00371B1A" w:rsidP="00E933FF">
      <w:pPr>
        <w:spacing w:after="0" w:line="240" w:lineRule="auto"/>
        <w:jc w:val="both"/>
        <w:rPr>
          <w:rFonts w:ascii="Times New Roman" w:hAnsi="Times New Roman" w:cs="Times New Roman"/>
          <w:sz w:val="24"/>
          <w:szCs w:val="24"/>
        </w:rPr>
      </w:pPr>
    </w:p>
    <w:p w14:paraId="67135625" w14:textId="77777777" w:rsidR="00371B1A" w:rsidRPr="00371B1A" w:rsidRDefault="000D4324" w:rsidP="00E933F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371B1A" w:rsidRPr="00371B1A">
        <w:rPr>
          <w:rFonts w:ascii="Times New Roman" w:hAnsi="Times New Roman" w:cs="Times New Roman"/>
          <w:b/>
          <w:sz w:val="24"/>
          <w:szCs w:val="24"/>
        </w:rPr>
        <w:t>/ Date de fin de prise en charge sur la liste en sus</w:t>
      </w:r>
    </w:p>
    <w:p w14:paraId="6BDCB8A2" w14:textId="77777777" w:rsidR="00371B1A" w:rsidRDefault="004A3270" w:rsidP="00E933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Cette colonne renseigne l</w:t>
      </w:r>
      <w:r w:rsidR="0033760F">
        <w:rPr>
          <w:rFonts w:ascii="Times New Roman" w:hAnsi="Times New Roman" w:cs="Times New Roman"/>
          <w:sz w:val="24"/>
          <w:szCs w:val="24"/>
        </w:rPr>
        <w:t>a date de la fin de prise en charge, qu’el</w:t>
      </w:r>
      <w:r w:rsidR="007C6CF7">
        <w:rPr>
          <w:rFonts w:ascii="Times New Roman" w:hAnsi="Times New Roman" w:cs="Times New Roman"/>
          <w:sz w:val="24"/>
          <w:szCs w:val="24"/>
        </w:rPr>
        <w:t>le corresponde à une radiation</w:t>
      </w:r>
      <w:r w:rsidR="0033760F">
        <w:rPr>
          <w:rFonts w:ascii="Times New Roman" w:hAnsi="Times New Roman" w:cs="Times New Roman"/>
          <w:sz w:val="24"/>
          <w:szCs w:val="24"/>
        </w:rPr>
        <w:t>, une abrogation d’AMM</w:t>
      </w:r>
      <w:r w:rsidR="00AD3142">
        <w:rPr>
          <w:rFonts w:ascii="Times New Roman" w:hAnsi="Times New Roman" w:cs="Times New Roman"/>
          <w:sz w:val="24"/>
          <w:szCs w:val="24"/>
        </w:rPr>
        <w:t>,</w:t>
      </w:r>
      <w:r w:rsidR="0033760F">
        <w:rPr>
          <w:rFonts w:ascii="Times New Roman" w:hAnsi="Times New Roman" w:cs="Times New Roman"/>
          <w:sz w:val="24"/>
          <w:szCs w:val="24"/>
        </w:rPr>
        <w:t xml:space="preserve"> ou autre.</w:t>
      </w:r>
    </w:p>
    <w:p w14:paraId="0DA40DF9" w14:textId="77777777" w:rsidR="00C0790A" w:rsidRDefault="00C0790A" w:rsidP="00E933FF">
      <w:pPr>
        <w:spacing w:after="0" w:line="240" w:lineRule="auto"/>
        <w:jc w:val="both"/>
        <w:rPr>
          <w:rFonts w:ascii="Times New Roman" w:hAnsi="Times New Roman" w:cs="Times New Roman"/>
          <w:sz w:val="24"/>
          <w:szCs w:val="24"/>
        </w:rPr>
      </w:pPr>
    </w:p>
    <w:p w14:paraId="69B8CB51" w14:textId="77777777" w:rsidR="00371B1A" w:rsidRPr="00371B1A" w:rsidRDefault="000D4324" w:rsidP="00E933F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r w:rsidR="00371B1A" w:rsidRPr="00371B1A">
        <w:rPr>
          <w:rFonts w:ascii="Times New Roman" w:hAnsi="Times New Roman" w:cs="Times New Roman"/>
          <w:b/>
          <w:sz w:val="24"/>
          <w:szCs w:val="24"/>
        </w:rPr>
        <w:t>/ Classe/indication niveau 1</w:t>
      </w:r>
    </w:p>
    <w:p w14:paraId="715CD5AA" w14:textId="77777777" w:rsidR="00371B1A" w:rsidRDefault="004A3270" w:rsidP="00E933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Cette colonne renseigne l</w:t>
      </w:r>
      <w:r w:rsidR="0033760F">
        <w:rPr>
          <w:rFonts w:ascii="Times New Roman" w:hAnsi="Times New Roman" w:cs="Times New Roman"/>
          <w:sz w:val="24"/>
          <w:szCs w:val="24"/>
        </w:rPr>
        <w:t>a classe générique de l’indication. Onze classes ont été créées : anti-infectieux, cancer, cardiologie, diabétologie, diagnostic, facteur de coagulation, immunologie, maladie rare, médecine inte</w:t>
      </w:r>
      <w:r w:rsidR="00AD3142">
        <w:rPr>
          <w:rFonts w:ascii="Times New Roman" w:hAnsi="Times New Roman" w:cs="Times New Roman"/>
          <w:sz w:val="24"/>
          <w:szCs w:val="24"/>
        </w:rPr>
        <w:t>rne, neurologie, ophtalmologie.</w:t>
      </w:r>
    </w:p>
    <w:p w14:paraId="117DC289" w14:textId="77777777" w:rsidR="00371B1A" w:rsidRDefault="00371B1A" w:rsidP="00E933FF">
      <w:pPr>
        <w:spacing w:after="0" w:line="240" w:lineRule="auto"/>
        <w:jc w:val="both"/>
        <w:rPr>
          <w:rFonts w:ascii="Times New Roman" w:hAnsi="Times New Roman" w:cs="Times New Roman"/>
          <w:sz w:val="24"/>
          <w:szCs w:val="24"/>
        </w:rPr>
      </w:pPr>
    </w:p>
    <w:p w14:paraId="209CCB47" w14:textId="77777777" w:rsidR="00371B1A" w:rsidRPr="00371B1A" w:rsidRDefault="000D4324" w:rsidP="00E933F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371B1A" w:rsidRPr="00371B1A">
        <w:rPr>
          <w:rFonts w:ascii="Times New Roman" w:hAnsi="Times New Roman" w:cs="Times New Roman"/>
          <w:b/>
          <w:sz w:val="24"/>
          <w:szCs w:val="24"/>
        </w:rPr>
        <w:t>/ Classe/indication niveau 2</w:t>
      </w:r>
    </w:p>
    <w:p w14:paraId="3A2F1D8A" w14:textId="77777777" w:rsidR="00371B1A" w:rsidRDefault="004A3270" w:rsidP="00E933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Cette colonne renseigne l</w:t>
      </w:r>
      <w:r w:rsidR="00040C4F">
        <w:rPr>
          <w:rFonts w:ascii="Times New Roman" w:hAnsi="Times New Roman" w:cs="Times New Roman"/>
          <w:sz w:val="24"/>
          <w:szCs w:val="24"/>
        </w:rPr>
        <w:t>a classe spécifique</w:t>
      </w:r>
      <w:r w:rsidR="00AB50C6">
        <w:rPr>
          <w:rFonts w:ascii="Times New Roman" w:hAnsi="Times New Roman" w:cs="Times New Roman"/>
          <w:sz w:val="24"/>
          <w:szCs w:val="24"/>
        </w:rPr>
        <w:t xml:space="preserve"> de l’indication. </w:t>
      </w:r>
      <w:r w:rsidR="00AD3142">
        <w:rPr>
          <w:rFonts w:ascii="Times New Roman" w:hAnsi="Times New Roman" w:cs="Times New Roman"/>
          <w:sz w:val="24"/>
          <w:szCs w:val="24"/>
        </w:rPr>
        <w:t>Soixante-huit</w:t>
      </w:r>
      <w:r w:rsidR="00AB50C6">
        <w:rPr>
          <w:rFonts w:ascii="Times New Roman" w:hAnsi="Times New Roman" w:cs="Times New Roman"/>
          <w:sz w:val="24"/>
          <w:szCs w:val="24"/>
        </w:rPr>
        <w:t xml:space="preserve"> classes existent actuellement et permettent de décrire d</w:t>
      </w:r>
      <w:r>
        <w:rPr>
          <w:rFonts w:ascii="Times New Roman" w:hAnsi="Times New Roman" w:cs="Times New Roman"/>
          <w:sz w:val="24"/>
          <w:szCs w:val="24"/>
        </w:rPr>
        <w:t xml:space="preserve">e </w:t>
      </w:r>
      <w:r w:rsidR="00AB50C6">
        <w:rPr>
          <w:rFonts w:ascii="Times New Roman" w:hAnsi="Times New Roman" w:cs="Times New Roman"/>
          <w:sz w:val="24"/>
          <w:szCs w:val="24"/>
        </w:rPr>
        <w:t xml:space="preserve">façon plus fine le type d’indication. </w:t>
      </w:r>
    </w:p>
    <w:p w14:paraId="3C8CFA32" w14:textId="77777777" w:rsidR="00371B1A" w:rsidRDefault="00371B1A" w:rsidP="00E933FF">
      <w:pPr>
        <w:spacing w:after="0" w:line="240" w:lineRule="auto"/>
        <w:jc w:val="both"/>
        <w:rPr>
          <w:rFonts w:ascii="Times New Roman" w:hAnsi="Times New Roman" w:cs="Times New Roman"/>
          <w:sz w:val="24"/>
          <w:szCs w:val="24"/>
        </w:rPr>
      </w:pPr>
    </w:p>
    <w:p w14:paraId="07671973" w14:textId="77777777" w:rsidR="00371B1A" w:rsidRPr="00371B1A" w:rsidRDefault="000D4324" w:rsidP="00E933F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11</w:t>
      </w:r>
      <w:r w:rsidR="00371B1A" w:rsidRPr="00371B1A">
        <w:rPr>
          <w:rFonts w:ascii="Times New Roman" w:hAnsi="Times New Roman" w:cs="Times New Roman"/>
          <w:b/>
          <w:sz w:val="24"/>
          <w:szCs w:val="24"/>
        </w:rPr>
        <w:t>/ Générique/Biosimilaire</w:t>
      </w:r>
      <w:r w:rsidR="00467AF4">
        <w:rPr>
          <w:rFonts w:ascii="Times New Roman" w:hAnsi="Times New Roman" w:cs="Times New Roman"/>
          <w:b/>
          <w:sz w:val="24"/>
          <w:szCs w:val="24"/>
        </w:rPr>
        <w:t>/ Médicament importé</w:t>
      </w:r>
    </w:p>
    <w:p w14:paraId="1947F69E" w14:textId="77777777" w:rsidR="00371B1A" w:rsidRDefault="004A3270" w:rsidP="00E933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Cette colonne renseigne la nature de la spécialité : </w:t>
      </w:r>
      <w:r w:rsidR="00371B1A">
        <w:rPr>
          <w:rFonts w:ascii="Times New Roman" w:hAnsi="Times New Roman" w:cs="Times New Roman"/>
          <w:sz w:val="24"/>
          <w:szCs w:val="24"/>
        </w:rPr>
        <w:t>« Générique »</w:t>
      </w:r>
      <w:r>
        <w:rPr>
          <w:rFonts w:ascii="Times New Roman" w:hAnsi="Times New Roman" w:cs="Times New Roman"/>
          <w:sz w:val="24"/>
          <w:szCs w:val="24"/>
        </w:rPr>
        <w:t xml:space="preserve">, </w:t>
      </w:r>
      <w:r w:rsidR="00371B1A">
        <w:rPr>
          <w:rFonts w:ascii="Times New Roman" w:hAnsi="Times New Roman" w:cs="Times New Roman"/>
          <w:sz w:val="24"/>
          <w:szCs w:val="24"/>
        </w:rPr>
        <w:t>« Biosimilaire » ou « Princeps »</w:t>
      </w:r>
      <w:r w:rsidR="00085FC2">
        <w:rPr>
          <w:rFonts w:ascii="Times New Roman" w:hAnsi="Times New Roman" w:cs="Times New Roman"/>
          <w:sz w:val="24"/>
          <w:szCs w:val="24"/>
        </w:rPr>
        <w:t>, « biologique de référence »</w:t>
      </w:r>
      <w:r w:rsidR="00371B1A">
        <w:rPr>
          <w:rFonts w:ascii="Times New Roman" w:hAnsi="Times New Roman" w:cs="Times New Roman"/>
          <w:sz w:val="24"/>
          <w:szCs w:val="24"/>
        </w:rPr>
        <w:t>.</w:t>
      </w:r>
      <w:r w:rsidR="00AD3142">
        <w:rPr>
          <w:rFonts w:ascii="Times New Roman" w:hAnsi="Times New Roman" w:cs="Times New Roman"/>
          <w:sz w:val="24"/>
          <w:szCs w:val="24"/>
        </w:rPr>
        <w:t xml:space="preserve"> La mention « Princeps » correspond à un médicament pour lequel il existe un médicament générique ou un médicament biosimilaire.</w:t>
      </w:r>
      <w:r w:rsidR="00371B1A">
        <w:rPr>
          <w:rFonts w:ascii="Times New Roman" w:hAnsi="Times New Roman" w:cs="Times New Roman"/>
          <w:sz w:val="24"/>
          <w:szCs w:val="24"/>
        </w:rPr>
        <w:t xml:space="preserve"> </w:t>
      </w:r>
      <w:r w:rsidR="003E6334">
        <w:rPr>
          <w:rFonts w:ascii="Times New Roman" w:hAnsi="Times New Roman" w:cs="Times New Roman"/>
          <w:sz w:val="24"/>
          <w:szCs w:val="24"/>
        </w:rPr>
        <w:t>À</w:t>
      </w:r>
      <w:r w:rsidR="000D4324">
        <w:rPr>
          <w:rFonts w:ascii="Times New Roman" w:hAnsi="Times New Roman" w:cs="Times New Roman"/>
          <w:sz w:val="24"/>
          <w:szCs w:val="24"/>
        </w:rPr>
        <w:t xml:space="preserve"> défaut,</w:t>
      </w:r>
      <w:r w:rsidR="00371B1A">
        <w:rPr>
          <w:rFonts w:ascii="Times New Roman" w:hAnsi="Times New Roman" w:cs="Times New Roman"/>
          <w:sz w:val="24"/>
          <w:szCs w:val="24"/>
        </w:rPr>
        <w:t xml:space="preserve"> la case </w:t>
      </w:r>
      <w:r w:rsidR="000D4324">
        <w:rPr>
          <w:rFonts w:ascii="Times New Roman" w:hAnsi="Times New Roman" w:cs="Times New Roman"/>
          <w:sz w:val="24"/>
          <w:szCs w:val="24"/>
        </w:rPr>
        <w:t xml:space="preserve">est </w:t>
      </w:r>
      <w:r w:rsidR="00371B1A">
        <w:rPr>
          <w:rFonts w:ascii="Times New Roman" w:hAnsi="Times New Roman" w:cs="Times New Roman"/>
          <w:sz w:val="24"/>
          <w:szCs w:val="24"/>
        </w:rPr>
        <w:t>vide.</w:t>
      </w:r>
    </w:p>
    <w:p w14:paraId="78CCDAD2" w14:textId="77777777" w:rsidR="00467AF4" w:rsidRDefault="00467AF4" w:rsidP="00E933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Lorsqu’il s’agit d’un médicament importé faisant suite à une tension ou une rupture d’approvisionnement </w:t>
      </w:r>
      <w:r w:rsidR="00820A89">
        <w:rPr>
          <w:rFonts w:ascii="Times New Roman" w:hAnsi="Times New Roman" w:cs="Times New Roman"/>
          <w:sz w:val="24"/>
          <w:szCs w:val="24"/>
        </w:rPr>
        <w:t>de la spécialité</w:t>
      </w:r>
      <w:r>
        <w:rPr>
          <w:rFonts w:ascii="Times New Roman" w:hAnsi="Times New Roman" w:cs="Times New Roman"/>
          <w:sz w:val="24"/>
          <w:szCs w:val="24"/>
        </w:rPr>
        <w:t xml:space="preserve"> habituellement commercialisé</w:t>
      </w:r>
      <w:r w:rsidR="00820A89">
        <w:rPr>
          <w:rFonts w:ascii="Times New Roman" w:hAnsi="Times New Roman" w:cs="Times New Roman"/>
          <w:sz w:val="24"/>
          <w:szCs w:val="24"/>
        </w:rPr>
        <w:t>e</w:t>
      </w:r>
      <w:r>
        <w:rPr>
          <w:rFonts w:ascii="Times New Roman" w:hAnsi="Times New Roman" w:cs="Times New Roman"/>
          <w:sz w:val="24"/>
          <w:szCs w:val="24"/>
        </w:rPr>
        <w:t xml:space="preserve"> en France, la colonne renseigne : « Médicament importé ».</w:t>
      </w:r>
    </w:p>
    <w:p w14:paraId="65F398CE" w14:textId="77777777" w:rsidR="00321786" w:rsidRDefault="00321786" w:rsidP="00E933FF">
      <w:pPr>
        <w:spacing w:after="0" w:line="240" w:lineRule="auto"/>
        <w:jc w:val="both"/>
        <w:rPr>
          <w:rFonts w:ascii="Times New Roman" w:hAnsi="Times New Roman" w:cs="Times New Roman"/>
          <w:sz w:val="24"/>
          <w:szCs w:val="24"/>
        </w:rPr>
      </w:pPr>
    </w:p>
    <w:p w14:paraId="4D3A140A" w14:textId="77777777" w:rsidR="000203C9" w:rsidRPr="000203C9" w:rsidRDefault="000203C9" w:rsidP="00E933FF">
      <w:pPr>
        <w:spacing w:after="0" w:line="240" w:lineRule="auto"/>
        <w:jc w:val="both"/>
        <w:rPr>
          <w:rFonts w:ascii="Times New Roman" w:hAnsi="Times New Roman" w:cs="Times New Roman"/>
          <w:b/>
          <w:sz w:val="24"/>
          <w:szCs w:val="24"/>
        </w:rPr>
      </w:pPr>
      <w:r w:rsidRPr="000203C9">
        <w:rPr>
          <w:rFonts w:ascii="Times New Roman" w:hAnsi="Times New Roman" w:cs="Times New Roman"/>
          <w:b/>
          <w:sz w:val="24"/>
          <w:szCs w:val="24"/>
        </w:rPr>
        <w:t>1</w:t>
      </w:r>
      <w:r>
        <w:rPr>
          <w:rFonts w:ascii="Times New Roman" w:hAnsi="Times New Roman" w:cs="Times New Roman"/>
          <w:b/>
          <w:sz w:val="24"/>
          <w:szCs w:val="24"/>
        </w:rPr>
        <w:t>2</w:t>
      </w:r>
      <w:r w:rsidRPr="000203C9">
        <w:rPr>
          <w:rFonts w:ascii="Times New Roman" w:hAnsi="Times New Roman" w:cs="Times New Roman"/>
          <w:b/>
          <w:sz w:val="24"/>
          <w:szCs w:val="24"/>
        </w:rPr>
        <w:t xml:space="preserve">/ Date de mise à jour </w:t>
      </w:r>
    </w:p>
    <w:p w14:paraId="481FB17A" w14:textId="77777777" w:rsidR="000203C9" w:rsidRDefault="000203C9" w:rsidP="00E933FF">
      <w:pPr>
        <w:spacing w:after="0" w:line="240" w:lineRule="auto"/>
        <w:jc w:val="both"/>
        <w:rPr>
          <w:rFonts w:ascii="Times New Roman" w:hAnsi="Times New Roman" w:cs="Times New Roman"/>
          <w:sz w:val="24"/>
          <w:szCs w:val="24"/>
        </w:rPr>
      </w:pPr>
      <w:r w:rsidRPr="000203C9">
        <w:rPr>
          <w:rFonts w:ascii="Times New Roman" w:hAnsi="Times New Roman" w:cs="Times New Roman"/>
          <w:sz w:val="24"/>
          <w:szCs w:val="24"/>
        </w:rPr>
        <w:t>Celle colonne renseigne le mois et l’année</w:t>
      </w:r>
      <w:r>
        <w:rPr>
          <w:rFonts w:ascii="Times New Roman" w:hAnsi="Times New Roman" w:cs="Times New Roman"/>
          <w:sz w:val="24"/>
          <w:szCs w:val="24"/>
        </w:rPr>
        <w:t xml:space="preserve"> de création ou de la dernière mise à jour de chacune des lignes indications.</w:t>
      </w:r>
    </w:p>
    <w:p w14:paraId="02E87A1A" w14:textId="77777777" w:rsidR="009947B2" w:rsidRPr="000203C9" w:rsidRDefault="009947B2" w:rsidP="00E933FF">
      <w:pPr>
        <w:spacing w:after="0" w:line="240" w:lineRule="auto"/>
        <w:jc w:val="both"/>
        <w:rPr>
          <w:rFonts w:ascii="Times New Roman" w:hAnsi="Times New Roman" w:cs="Times New Roman"/>
          <w:sz w:val="24"/>
          <w:szCs w:val="24"/>
        </w:rPr>
      </w:pPr>
    </w:p>
    <w:p w14:paraId="72C42E3E" w14:textId="77777777" w:rsidR="00C706EE" w:rsidRDefault="00C706EE" w:rsidP="00BC3E24">
      <w:pPr>
        <w:spacing w:after="0" w:line="240" w:lineRule="auto"/>
        <w:rPr>
          <w:rFonts w:ascii="Times New Roman" w:hAnsi="Times New Roman" w:cs="Times New Roman"/>
          <w:b/>
          <w:sz w:val="24"/>
          <w:szCs w:val="24"/>
        </w:rPr>
        <w:sectPr w:rsidR="00C706EE" w:rsidSect="00A547FB">
          <w:footerReference w:type="default" r:id="rId9"/>
          <w:pgSz w:w="11906" w:h="16838"/>
          <w:pgMar w:top="1077" w:right="1077" w:bottom="1077" w:left="1077" w:header="709" w:footer="709" w:gutter="0"/>
          <w:cols w:space="708"/>
          <w:docGrid w:linePitch="360"/>
        </w:sectPr>
      </w:pPr>
    </w:p>
    <w:p w14:paraId="6B2EFC3A" w14:textId="44A760F6" w:rsidR="00C706EE" w:rsidRDefault="00C706EE" w:rsidP="00C706EE">
      <w:pPr>
        <w:spacing w:after="0" w:line="240" w:lineRule="auto"/>
        <w:jc w:val="center"/>
        <w:rPr>
          <w:rFonts w:ascii="Times New Roman" w:hAnsi="Times New Roman" w:cs="Times New Roman"/>
          <w:b/>
          <w:sz w:val="24"/>
          <w:szCs w:val="24"/>
        </w:rPr>
      </w:pPr>
      <w:r w:rsidRPr="00C706EE">
        <w:rPr>
          <w:rFonts w:ascii="Times New Roman" w:hAnsi="Times New Roman" w:cs="Times New Roman"/>
          <w:b/>
          <w:sz w:val="24"/>
          <w:szCs w:val="24"/>
        </w:rPr>
        <w:lastRenderedPageBreak/>
        <w:t>ANNEXE</w:t>
      </w:r>
      <w:r w:rsidR="00FF2684">
        <w:rPr>
          <w:rFonts w:ascii="Times New Roman" w:hAnsi="Times New Roman" w:cs="Times New Roman"/>
          <w:b/>
          <w:sz w:val="24"/>
          <w:szCs w:val="24"/>
        </w:rPr>
        <w:t xml:space="preserve"> 1 : FAQ - </w:t>
      </w:r>
      <w:r w:rsidR="00FF2684" w:rsidRPr="004206D7">
        <w:rPr>
          <w:rFonts w:ascii="Times New Roman" w:hAnsi="Times New Roman" w:cs="Times New Roman"/>
          <w:b/>
          <w:sz w:val="26"/>
          <w:szCs w:val="26"/>
        </w:rPr>
        <w:t>Codage par indication des médicaments pris en charge en sus des prestations d'hospitalisation</w:t>
      </w:r>
    </w:p>
    <w:p w14:paraId="048F3915" w14:textId="77777777" w:rsidR="00C706EE" w:rsidRDefault="00C706EE" w:rsidP="00C706EE">
      <w:pPr>
        <w:spacing w:after="0" w:line="240" w:lineRule="auto"/>
        <w:jc w:val="center"/>
        <w:rPr>
          <w:rFonts w:ascii="Times New Roman" w:hAnsi="Times New Roman" w:cs="Times New Roman"/>
          <w:b/>
          <w:sz w:val="24"/>
          <w:szCs w:val="24"/>
        </w:rPr>
      </w:pPr>
    </w:p>
    <w:p w14:paraId="058D7F6C" w14:textId="77777777" w:rsidR="00C706EE" w:rsidRDefault="00C706EE" w:rsidP="00C706EE">
      <w:pPr>
        <w:spacing w:after="0" w:line="240" w:lineRule="auto"/>
        <w:jc w:val="center"/>
        <w:rPr>
          <w:rFonts w:ascii="Times New Roman" w:hAnsi="Times New Roman" w:cs="Times New Roman"/>
          <w:b/>
          <w:sz w:val="24"/>
          <w:szCs w:val="24"/>
        </w:rPr>
      </w:pPr>
    </w:p>
    <w:tbl>
      <w:tblPr>
        <w:tblStyle w:val="Grilledutableau"/>
        <w:tblW w:w="0" w:type="auto"/>
        <w:tblLook w:val="04A0" w:firstRow="1" w:lastRow="0" w:firstColumn="1" w:lastColumn="0" w:noHBand="0" w:noVBand="1"/>
      </w:tblPr>
      <w:tblGrid>
        <w:gridCol w:w="5579"/>
        <w:gridCol w:w="9075"/>
      </w:tblGrid>
      <w:tr w:rsidR="004206D7" w14:paraId="78D31E56" w14:textId="77777777" w:rsidTr="00BC3E24">
        <w:tc>
          <w:tcPr>
            <w:tcW w:w="14654" w:type="dxa"/>
            <w:gridSpan w:val="2"/>
            <w:tcBorders>
              <w:top w:val="single" w:sz="12" w:space="0" w:color="auto"/>
              <w:left w:val="single" w:sz="12" w:space="0" w:color="auto"/>
              <w:bottom w:val="single" w:sz="12" w:space="0" w:color="auto"/>
              <w:right w:val="single" w:sz="12" w:space="0" w:color="auto"/>
            </w:tcBorders>
          </w:tcPr>
          <w:p w14:paraId="205E0CD5" w14:textId="77777777" w:rsidR="004206D7" w:rsidRPr="004206D7" w:rsidRDefault="004206D7" w:rsidP="004206D7">
            <w:pPr>
              <w:jc w:val="center"/>
              <w:rPr>
                <w:rFonts w:ascii="Times New Roman" w:hAnsi="Times New Roman" w:cs="Times New Roman"/>
                <w:b/>
                <w:sz w:val="26"/>
                <w:szCs w:val="26"/>
              </w:rPr>
            </w:pPr>
            <w:r>
              <w:rPr>
                <w:rFonts w:ascii="Times New Roman" w:hAnsi="Times New Roman" w:cs="Times New Roman"/>
                <w:b/>
                <w:sz w:val="26"/>
                <w:szCs w:val="26"/>
              </w:rPr>
              <w:t>« FOIRE AUX QUESTIONS </w:t>
            </w:r>
          </w:p>
          <w:p w14:paraId="531EFC81" w14:textId="77777777" w:rsidR="004206D7" w:rsidRPr="004206D7" w:rsidRDefault="004206D7" w:rsidP="004206D7">
            <w:pPr>
              <w:jc w:val="center"/>
              <w:rPr>
                <w:rFonts w:ascii="Times New Roman" w:hAnsi="Times New Roman" w:cs="Times New Roman"/>
                <w:b/>
                <w:sz w:val="26"/>
                <w:szCs w:val="26"/>
              </w:rPr>
            </w:pPr>
          </w:p>
          <w:p w14:paraId="66C9B262" w14:textId="77777777" w:rsidR="004206D7" w:rsidRPr="004206D7" w:rsidRDefault="004206D7" w:rsidP="004206D7">
            <w:pPr>
              <w:jc w:val="center"/>
              <w:rPr>
                <w:rFonts w:ascii="Times New Roman" w:hAnsi="Times New Roman" w:cs="Times New Roman"/>
                <w:b/>
                <w:sz w:val="26"/>
                <w:szCs w:val="26"/>
              </w:rPr>
            </w:pPr>
            <w:r w:rsidRPr="004206D7">
              <w:rPr>
                <w:rFonts w:ascii="Times New Roman" w:hAnsi="Times New Roman" w:cs="Times New Roman"/>
                <w:b/>
                <w:sz w:val="26"/>
                <w:szCs w:val="26"/>
              </w:rPr>
              <w:t>Codage par indication des médicaments pris en charge en sus des prestations d'hospitalisation</w:t>
            </w:r>
            <w:r>
              <w:rPr>
                <w:rFonts w:ascii="Times New Roman" w:hAnsi="Times New Roman" w:cs="Times New Roman"/>
                <w:b/>
                <w:sz w:val="26"/>
                <w:szCs w:val="26"/>
              </w:rPr>
              <w:t> »</w:t>
            </w:r>
          </w:p>
          <w:p w14:paraId="62CD4B6A" w14:textId="77777777" w:rsidR="004206D7" w:rsidRPr="004206D7" w:rsidRDefault="004206D7" w:rsidP="004206D7">
            <w:pPr>
              <w:jc w:val="center"/>
              <w:rPr>
                <w:rFonts w:ascii="Times New Roman" w:hAnsi="Times New Roman" w:cs="Times New Roman"/>
                <w:b/>
                <w:sz w:val="24"/>
                <w:szCs w:val="24"/>
              </w:rPr>
            </w:pPr>
          </w:p>
        </w:tc>
      </w:tr>
      <w:tr w:rsidR="00C706EE" w14:paraId="735E436F" w14:textId="77777777" w:rsidTr="00BC3E24">
        <w:tc>
          <w:tcPr>
            <w:tcW w:w="5579" w:type="dxa"/>
            <w:tcBorders>
              <w:top w:val="single" w:sz="12" w:space="0" w:color="auto"/>
              <w:left w:val="single" w:sz="12" w:space="0" w:color="auto"/>
              <w:bottom w:val="single" w:sz="12" w:space="0" w:color="auto"/>
            </w:tcBorders>
          </w:tcPr>
          <w:p w14:paraId="563FBA9C" w14:textId="77777777" w:rsidR="0058046E" w:rsidRPr="004206D7" w:rsidRDefault="0058046E" w:rsidP="00C706EE">
            <w:pPr>
              <w:jc w:val="center"/>
              <w:rPr>
                <w:rFonts w:ascii="Times New Roman" w:hAnsi="Times New Roman" w:cs="Times New Roman"/>
                <w:b/>
                <w:sz w:val="26"/>
                <w:szCs w:val="26"/>
              </w:rPr>
            </w:pPr>
          </w:p>
          <w:p w14:paraId="65E6C5C4" w14:textId="77777777" w:rsidR="00C706EE" w:rsidRPr="004206D7" w:rsidRDefault="00C706EE" w:rsidP="00C706EE">
            <w:pPr>
              <w:jc w:val="center"/>
              <w:rPr>
                <w:rFonts w:ascii="Times New Roman" w:hAnsi="Times New Roman" w:cs="Times New Roman"/>
                <w:b/>
                <w:sz w:val="26"/>
                <w:szCs w:val="26"/>
              </w:rPr>
            </w:pPr>
            <w:r w:rsidRPr="004206D7">
              <w:rPr>
                <w:rFonts w:ascii="Times New Roman" w:hAnsi="Times New Roman" w:cs="Times New Roman"/>
                <w:b/>
                <w:sz w:val="26"/>
                <w:szCs w:val="26"/>
              </w:rPr>
              <w:t>Question posée</w:t>
            </w:r>
          </w:p>
          <w:p w14:paraId="613DDAE6" w14:textId="77777777" w:rsidR="0058046E" w:rsidRPr="004206D7" w:rsidRDefault="0058046E" w:rsidP="00C706EE">
            <w:pPr>
              <w:jc w:val="center"/>
              <w:rPr>
                <w:rFonts w:ascii="Times New Roman" w:hAnsi="Times New Roman" w:cs="Times New Roman"/>
                <w:b/>
                <w:sz w:val="26"/>
                <w:szCs w:val="26"/>
              </w:rPr>
            </w:pPr>
          </w:p>
        </w:tc>
        <w:tc>
          <w:tcPr>
            <w:tcW w:w="9075" w:type="dxa"/>
            <w:tcBorders>
              <w:top w:val="single" w:sz="12" w:space="0" w:color="auto"/>
              <w:bottom w:val="single" w:sz="12" w:space="0" w:color="auto"/>
              <w:right w:val="single" w:sz="12" w:space="0" w:color="auto"/>
            </w:tcBorders>
          </w:tcPr>
          <w:p w14:paraId="1D039C92" w14:textId="77777777" w:rsidR="0058046E" w:rsidRPr="004206D7" w:rsidRDefault="0058046E" w:rsidP="00C706EE">
            <w:pPr>
              <w:jc w:val="center"/>
              <w:rPr>
                <w:rFonts w:ascii="Times New Roman" w:hAnsi="Times New Roman" w:cs="Times New Roman"/>
                <w:b/>
                <w:sz w:val="26"/>
                <w:szCs w:val="26"/>
              </w:rPr>
            </w:pPr>
          </w:p>
          <w:p w14:paraId="2E9A5FE9" w14:textId="77777777" w:rsidR="00C706EE" w:rsidRPr="004206D7" w:rsidRDefault="00C706EE" w:rsidP="00C706EE">
            <w:pPr>
              <w:jc w:val="center"/>
              <w:rPr>
                <w:rFonts w:ascii="Times New Roman" w:hAnsi="Times New Roman" w:cs="Times New Roman"/>
                <w:b/>
                <w:sz w:val="26"/>
                <w:szCs w:val="26"/>
              </w:rPr>
            </w:pPr>
            <w:r w:rsidRPr="004206D7">
              <w:rPr>
                <w:rFonts w:ascii="Times New Roman" w:hAnsi="Times New Roman" w:cs="Times New Roman"/>
                <w:b/>
                <w:sz w:val="26"/>
                <w:szCs w:val="26"/>
              </w:rPr>
              <w:t>Réponse ministère</w:t>
            </w:r>
          </w:p>
        </w:tc>
      </w:tr>
      <w:tr w:rsidR="00C706EE" w14:paraId="384B3224" w14:textId="77777777" w:rsidTr="00BC3E24">
        <w:tc>
          <w:tcPr>
            <w:tcW w:w="5579" w:type="dxa"/>
            <w:tcBorders>
              <w:top w:val="single" w:sz="12" w:space="0" w:color="auto"/>
              <w:left w:val="single" w:sz="12" w:space="0" w:color="auto"/>
            </w:tcBorders>
          </w:tcPr>
          <w:p w14:paraId="024DF8B5" w14:textId="77777777" w:rsidR="00C706EE" w:rsidRDefault="00C706EE" w:rsidP="00C706EE">
            <w:pPr>
              <w:tabs>
                <w:tab w:val="left" w:pos="3435"/>
              </w:tabs>
              <w:jc w:val="both"/>
              <w:rPr>
                <w:rFonts w:ascii="Times New Roman" w:hAnsi="Times New Roman" w:cs="Times New Roman"/>
                <w:b/>
                <w:sz w:val="24"/>
                <w:szCs w:val="24"/>
              </w:rPr>
            </w:pPr>
            <w:r w:rsidRPr="00C706EE">
              <w:rPr>
                <w:rFonts w:ascii="Times New Roman" w:hAnsi="Times New Roman" w:cs="Times New Roman"/>
                <w:b/>
                <w:sz w:val="24"/>
                <w:szCs w:val="24"/>
              </w:rPr>
              <w:t>1. Quelles sont les modalités de codage des indications nouvellement inscrites sur la liste en sus et en attente de codification ?</w:t>
            </w:r>
          </w:p>
        </w:tc>
        <w:tc>
          <w:tcPr>
            <w:tcW w:w="9075" w:type="dxa"/>
            <w:tcBorders>
              <w:top w:val="single" w:sz="12" w:space="0" w:color="auto"/>
              <w:right w:val="single" w:sz="12" w:space="0" w:color="auto"/>
            </w:tcBorders>
          </w:tcPr>
          <w:p w14:paraId="044AE324" w14:textId="77777777" w:rsidR="00C706EE" w:rsidRPr="00C706EE" w:rsidRDefault="00C706EE" w:rsidP="00C706EE">
            <w:pPr>
              <w:jc w:val="both"/>
              <w:rPr>
                <w:rFonts w:ascii="Times New Roman" w:hAnsi="Times New Roman" w:cs="Times New Roman"/>
                <w:sz w:val="24"/>
                <w:szCs w:val="24"/>
              </w:rPr>
            </w:pPr>
            <w:r w:rsidRPr="00C706EE">
              <w:rPr>
                <w:rFonts w:ascii="Times New Roman" w:hAnsi="Times New Roman" w:cs="Times New Roman"/>
                <w:sz w:val="24"/>
                <w:szCs w:val="24"/>
              </w:rPr>
              <w:t>Le</w:t>
            </w:r>
            <w:r w:rsidR="00FD465C">
              <w:rPr>
                <w:rFonts w:ascii="Times New Roman" w:hAnsi="Times New Roman" w:cs="Times New Roman"/>
                <w:sz w:val="24"/>
                <w:szCs w:val="24"/>
              </w:rPr>
              <w:t>s</w:t>
            </w:r>
            <w:r w:rsidRPr="00C706EE">
              <w:rPr>
                <w:rFonts w:ascii="Times New Roman" w:hAnsi="Times New Roman" w:cs="Times New Roman"/>
                <w:sz w:val="24"/>
                <w:szCs w:val="24"/>
              </w:rPr>
              <w:t xml:space="preserve"> "référentiel</w:t>
            </w:r>
            <w:r w:rsidR="00FD465C">
              <w:rPr>
                <w:rFonts w:ascii="Times New Roman" w:hAnsi="Times New Roman" w:cs="Times New Roman"/>
                <w:sz w:val="24"/>
                <w:szCs w:val="24"/>
              </w:rPr>
              <w:t>s</w:t>
            </w:r>
            <w:r w:rsidRPr="00C706EE">
              <w:rPr>
                <w:rFonts w:ascii="Times New Roman" w:hAnsi="Times New Roman" w:cs="Times New Roman"/>
                <w:sz w:val="24"/>
                <w:szCs w:val="24"/>
              </w:rPr>
              <w:t xml:space="preserve"> LES" </w:t>
            </w:r>
            <w:r w:rsidR="00FD465C">
              <w:rPr>
                <w:rFonts w:ascii="Times New Roman" w:hAnsi="Times New Roman" w:cs="Times New Roman"/>
                <w:sz w:val="24"/>
                <w:szCs w:val="24"/>
              </w:rPr>
              <w:t xml:space="preserve">MCO et SMR sont </w:t>
            </w:r>
            <w:r w:rsidRPr="00C706EE">
              <w:rPr>
                <w:rFonts w:ascii="Times New Roman" w:hAnsi="Times New Roman" w:cs="Times New Roman"/>
                <w:sz w:val="24"/>
                <w:szCs w:val="24"/>
              </w:rPr>
              <w:t xml:space="preserve">mis à jour mensuellement la première semaine de chaque mois. Si pour une spécialité, le code indication n'est pas disponible dans les bases de données ou dans la table de concordance mis à disposition par l'ATIH, il est proposé aux établissements d'utiliser le code publié dans le référentiel publié sur le site du ministère. </w:t>
            </w:r>
          </w:p>
          <w:p w14:paraId="47F89613" w14:textId="77777777" w:rsidR="00C706EE" w:rsidRDefault="00C706EE" w:rsidP="00C706EE">
            <w:pPr>
              <w:jc w:val="both"/>
              <w:rPr>
                <w:rFonts w:ascii="Times New Roman" w:hAnsi="Times New Roman" w:cs="Times New Roman"/>
                <w:sz w:val="24"/>
                <w:szCs w:val="24"/>
              </w:rPr>
            </w:pPr>
            <w:r w:rsidRPr="00C706EE">
              <w:rPr>
                <w:rFonts w:ascii="Times New Roman" w:hAnsi="Times New Roman" w:cs="Times New Roman"/>
                <w:sz w:val="24"/>
                <w:szCs w:val="24"/>
              </w:rPr>
              <w:t>Le</w:t>
            </w:r>
            <w:r w:rsidR="00FD465C">
              <w:rPr>
                <w:rFonts w:ascii="Times New Roman" w:hAnsi="Times New Roman" w:cs="Times New Roman"/>
                <w:sz w:val="24"/>
                <w:szCs w:val="24"/>
              </w:rPr>
              <w:t>s</w:t>
            </w:r>
            <w:r w:rsidRPr="00C706EE">
              <w:rPr>
                <w:rFonts w:ascii="Times New Roman" w:hAnsi="Times New Roman" w:cs="Times New Roman"/>
                <w:sz w:val="24"/>
                <w:szCs w:val="24"/>
              </w:rPr>
              <w:t xml:space="preserve"> code</w:t>
            </w:r>
            <w:r w:rsidR="00FD465C">
              <w:rPr>
                <w:rFonts w:ascii="Times New Roman" w:hAnsi="Times New Roman" w:cs="Times New Roman"/>
                <w:sz w:val="24"/>
                <w:szCs w:val="24"/>
              </w:rPr>
              <w:t>s</w:t>
            </w:r>
            <w:r w:rsidRPr="00C706EE">
              <w:rPr>
                <w:rFonts w:ascii="Times New Roman" w:hAnsi="Times New Roman" w:cs="Times New Roman"/>
                <w:sz w:val="24"/>
                <w:szCs w:val="24"/>
              </w:rPr>
              <w:t xml:space="preserve"> I999999 </w:t>
            </w:r>
            <w:r w:rsidR="00FD465C">
              <w:rPr>
                <w:rFonts w:ascii="Times New Roman" w:hAnsi="Times New Roman" w:cs="Times New Roman"/>
                <w:sz w:val="24"/>
                <w:szCs w:val="24"/>
              </w:rPr>
              <w:t xml:space="preserve">et S999999 </w:t>
            </w:r>
            <w:r w:rsidRPr="00C706EE">
              <w:rPr>
                <w:rFonts w:ascii="Times New Roman" w:hAnsi="Times New Roman" w:cs="Times New Roman"/>
                <w:sz w:val="24"/>
                <w:szCs w:val="24"/>
              </w:rPr>
              <w:t>ne peu</w:t>
            </w:r>
            <w:r w:rsidR="00FD465C">
              <w:rPr>
                <w:rFonts w:ascii="Times New Roman" w:hAnsi="Times New Roman" w:cs="Times New Roman"/>
                <w:sz w:val="24"/>
                <w:szCs w:val="24"/>
              </w:rPr>
              <w:t>ven</w:t>
            </w:r>
            <w:r w:rsidRPr="00C706EE">
              <w:rPr>
                <w:rFonts w:ascii="Times New Roman" w:hAnsi="Times New Roman" w:cs="Times New Roman"/>
                <w:sz w:val="24"/>
                <w:szCs w:val="24"/>
              </w:rPr>
              <w:t xml:space="preserve">t </w:t>
            </w:r>
            <w:r w:rsidR="00CD4329">
              <w:rPr>
                <w:rFonts w:ascii="Times New Roman" w:hAnsi="Times New Roman" w:cs="Times New Roman"/>
                <w:sz w:val="24"/>
                <w:szCs w:val="24"/>
              </w:rPr>
              <w:t xml:space="preserve">pas </w:t>
            </w:r>
            <w:r w:rsidRPr="00C706EE">
              <w:rPr>
                <w:rFonts w:ascii="Times New Roman" w:hAnsi="Times New Roman" w:cs="Times New Roman"/>
                <w:sz w:val="24"/>
                <w:szCs w:val="24"/>
              </w:rPr>
              <w:t>être utilisé</w:t>
            </w:r>
            <w:r w:rsidR="00FD465C">
              <w:rPr>
                <w:rFonts w:ascii="Times New Roman" w:hAnsi="Times New Roman" w:cs="Times New Roman"/>
                <w:sz w:val="24"/>
                <w:szCs w:val="24"/>
              </w:rPr>
              <w:t>s</w:t>
            </w:r>
            <w:r w:rsidRPr="00C706EE">
              <w:rPr>
                <w:rFonts w:ascii="Times New Roman" w:hAnsi="Times New Roman" w:cs="Times New Roman"/>
                <w:sz w:val="24"/>
                <w:szCs w:val="24"/>
              </w:rPr>
              <w:t xml:space="preserve"> dans ces cas et doi</w:t>
            </w:r>
            <w:r w:rsidR="00FD465C">
              <w:rPr>
                <w:rFonts w:ascii="Times New Roman" w:hAnsi="Times New Roman" w:cs="Times New Roman"/>
                <w:sz w:val="24"/>
                <w:szCs w:val="24"/>
              </w:rPr>
              <w:t>ven</w:t>
            </w:r>
            <w:r w:rsidRPr="00C706EE">
              <w:rPr>
                <w:rFonts w:ascii="Times New Roman" w:hAnsi="Times New Roman" w:cs="Times New Roman"/>
                <w:sz w:val="24"/>
                <w:szCs w:val="24"/>
              </w:rPr>
              <w:t>t rester limité</w:t>
            </w:r>
            <w:r w:rsidR="00FD465C">
              <w:rPr>
                <w:rFonts w:ascii="Times New Roman" w:hAnsi="Times New Roman" w:cs="Times New Roman"/>
                <w:sz w:val="24"/>
                <w:szCs w:val="24"/>
              </w:rPr>
              <w:t>s</w:t>
            </w:r>
            <w:r w:rsidRPr="00C706EE">
              <w:rPr>
                <w:rFonts w:ascii="Times New Roman" w:hAnsi="Times New Roman" w:cs="Times New Roman"/>
                <w:sz w:val="24"/>
                <w:szCs w:val="24"/>
              </w:rPr>
              <w:t>. Par ailleurs, cela risquerait de faire gonfler artificiellement la part des prescriptions "hors AMM".</w:t>
            </w:r>
          </w:p>
          <w:p w14:paraId="26A23800" w14:textId="77777777" w:rsidR="004206D7" w:rsidRDefault="004206D7" w:rsidP="00C706EE">
            <w:pPr>
              <w:jc w:val="both"/>
              <w:rPr>
                <w:rFonts w:ascii="Times New Roman" w:hAnsi="Times New Roman" w:cs="Times New Roman"/>
                <w:b/>
                <w:sz w:val="24"/>
                <w:szCs w:val="24"/>
              </w:rPr>
            </w:pPr>
          </w:p>
        </w:tc>
      </w:tr>
      <w:tr w:rsidR="00C706EE" w14:paraId="68AF96DB" w14:textId="77777777" w:rsidTr="00BC3E24">
        <w:tc>
          <w:tcPr>
            <w:tcW w:w="5579" w:type="dxa"/>
            <w:tcBorders>
              <w:left w:val="single" w:sz="12" w:space="0" w:color="auto"/>
            </w:tcBorders>
          </w:tcPr>
          <w:p w14:paraId="37CF5643" w14:textId="77777777" w:rsidR="00C706EE" w:rsidRDefault="00C706EE" w:rsidP="004206D7">
            <w:pPr>
              <w:jc w:val="both"/>
              <w:rPr>
                <w:rFonts w:ascii="Times New Roman" w:hAnsi="Times New Roman" w:cs="Times New Roman"/>
                <w:b/>
                <w:sz w:val="24"/>
                <w:szCs w:val="24"/>
              </w:rPr>
            </w:pPr>
            <w:r w:rsidRPr="00C706EE">
              <w:rPr>
                <w:rFonts w:ascii="Times New Roman" w:hAnsi="Times New Roman" w:cs="Times New Roman"/>
                <w:b/>
                <w:sz w:val="24"/>
                <w:szCs w:val="24"/>
              </w:rPr>
              <w:t>2. Quelles sont les modalités de codage des extensions d’indications d’AMM européennes en cours d’instruction en vue d’un agrément aux collectivités et d’une éventuelle inscription sur la liste en sus ?</w:t>
            </w:r>
          </w:p>
        </w:tc>
        <w:tc>
          <w:tcPr>
            <w:tcW w:w="9075" w:type="dxa"/>
            <w:tcBorders>
              <w:right w:val="single" w:sz="12" w:space="0" w:color="auto"/>
            </w:tcBorders>
          </w:tcPr>
          <w:p w14:paraId="282D113F" w14:textId="4205F751" w:rsidR="00C706EE" w:rsidRPr="00C706EE" w:rsidRDefault="00C706EE" w:rsidP="00C706EE">
            <w:pPr>
              <w:jc w:val="both"/>
              <w:rPr>
                <w:rFonts w:ascii="Times New Roman" w:hAnsi="Times New Roman" w:cs="Times New Roman"/>
                <w:sz w:val="24"/>
                <w:szCs w:val="24"/>
              </w:rPr>
            </w:pPr>
            <w:r w:rsidRPr="00C706EE">
              <w:rPr>
                <w:rFonts w:ascii="Times New Roman" w:hAnsi="Times New Roman" w:cs="Times New Roman"/>
                <w:sz w:val="24"/>
                <w:szCs w:val="24"/>
              </w:rPr>
              <w:t>Les spécialités qui bénéficient d'une</w:t>
            </w:r>
            <w:r w:rsidR="00BC3E24">
              <w:rPr>
                <w:rFonts w:ascii="Times New Roman" w:hAnsi="Times New Roman" w:cs="Times New Roman"/>
                <w:sz w:val="24"/>
                <w:szCs w:val="24"/>
              </w:rPr>
              <w:t xml:space="preserve"> prise en charge au titre d'un CPC </w:t>
            </w:r>
            <w:r w:rsidRPr="00C706EE">
              <w:rPr>
                <w:rFonts w:ascii="Times New Roman" w:hAnsi="Times New Roman" w:cs="Times New Roman"/>
                <w:sz w:val="24"/>
                <w:szCs w:val="24"/>
              </w:rPr>
              <w:t xml:space="preserve">disposent de leurs propres codes indication dans le référentiel </w:t>
            </w:r>
            <w:r w:rsidR="007C6CF7">
              <w:rPr>
                <w:rFonts w:ascii="Times New Roman" w:hAnsi="Times New Roman" w:cs="Times New Roman"/>
                <w:sz w:val="24"/>
                <w:szCs w:val="24"/>
              </w:rPr>
              <w:t>« accès compassionnel »</w:t>
            </w:r>
            <w:r w:rsidRPr="00C706EE">
              <w:rPr>
                <w:rFonts w:ascii="Times New Roman" w:hAnsi="Times New Roman" w:cs="Times New Roman"/>
                <w:sz w:val="24"/>
                <w:szCs w:val="24"/>
              </w:rPr>
              <w:t>.</w:t>
            </w:r>
          </w:p>
          <w:p w14:paraId="63FB6D9C" w14:textId="77777777" w:rsidR="00C706EE" w:rsidRPr="00C706EE" w:rsidRDefault="00C706EE" w:rsidP="00C706EE">
            <w:pPr>
              <w:jc w:val="both"/>
              <w:rPr>
                <w:rFonts w:ascii="Times New Roman" w:hAnsi="Times New Roman" w:cs="Times New Roman"/>
                <w:sz w:val="24"/>
                <w:szCs w:val="24"/>
              </w:rPr>
            </w:pPr>
          </w:p>
          <w:p w14:paraId="3FA8DDB4" w14:textId="02D6F159" w:rsidR="00C706EE" w:rsidRDefault="00C706EE" w:rsidP="00C706EE">
            <w:pPr>
              <w:jc w:val="both"/>
              <w:rPr>
                <w:rFonts w:ascii="Times New Roman" w:hAnsi="Times New Roman" w:cs="Times New Roman"/>
                <w:sz w:val="24"/>
                <w:szCs w:val="24"/>
              </w:rPr>
            </w:pPr>
            <w:r w:rsidRPr="00C706EE">
              <w:rPr>
                <w:rFonts w:ascii="Times New Roman" w:hAnsi="Times New Roman" w:cs="Times New Roman"/>
                <w:sz w:val="24"/>
                <w:szCs w:val="24"/>
              </w:rPr>
              <w:t>Concernant les spécialités qui bénéficient d'une prise en charge au titre d</w:t>
            </w:r>
            <w:r w:rsidR="00282C64">
              <w:rPr>
                <w:rFonts w:ascii="Times New Roman" w:hAnsi="Times New Roman" w:cs="Times New Roman"/>
                <w:sz w:val="24"/>
                <w:szCs w:val="24"/>
              </w:rPr>
              <w:t>e l’accès précoce</w:t>
            </w:r>
            <w:r w:rsidRPr="00C706EE">
              <w:rPr>
                <w:rFonts w:ascii="Times New Roman" w:hAnsi="Times New Roman" w:cs="Times New Roman"/>
                <w:sz w:val="24"/>
                <w:szCs w:val="24"/>
              </w:rPr>
              <w:t>, celles-ci font l'objet d'un codage spécifique. Ce codage est disponible sur le site du ministère via la publication d</w:t>
            </w:r>
            <w:r w:rsidR="00282C64">
              <w:rPr>
                <w:rFonts w:ascii="Times New Roman" w:hAnsi="Times New Roman" w:cs="Times New Roman"/>
                <w:sz w:val="24"/>
                <w:szCs w:val="24"/>
              </w:rPr>
              <w:t>’un</w:t>
            </w:r>
            <w:r w:rsidRPr="00C706EE">
              <w:rPr>
                <w:rFonts w:ascii="Times New Roman" w:hAnsi="Times New Roman" w:cs="Times New Roman"/>
                <w:sz w:val="24"/>
                <w:szCs w:val="24"/>
              </w:rPr>
              <w:t xml:space="preserve"> référentiel</w:t>
            </w:r>
            <w:r w:rsidR="00282C64">
              <w:rPr>
                <w:rFonts w:ascii="Times New Roman" w:hAnsi="Times New Roman" w:cs="Times New Roman"/>
                <w:sz w:val="24"/>
                <w:szCs w:val="24"/>
              </w:rPr>
              <w:t xml:space="preserve"> dédié</w:t>
            </w:r>
            <w:r w:rsidRPr="00C706EE">
              <w:rPr>
                <w:rFonts w:ascii="Times New Roman" w:hAnsi="Times New Roman" w:cs="Times New Roman"/>
                <w:sz w:val="24"/>
                <w:szCs w:val="24"/>
              </w:rPr>
              <w:t>.</w:t>
            </w:r>
          </w:p>
          <w:p w14:paraId="4C4E08AC" w14:textId="77777777" w:rsidR="004206D7" w:rsidRPr="00C706EE" w:rsidRDefault="004206D7" w:rsidP="00C706EE">
            <w:pPr>
              <w:jc w:val="both"/>
              <w:rPr>
                <w:rFonts w:ascii="Times New Roman" w:hAnsi="Times New Roman" w:cs="Times New Roman"/>
                <w:b/>
                <w:sz w:val="24"/>
                <w:szCs w:val="24"/>
              </w:rPr>
            </w:pPr>
          </w:p>
        </w:tc>
      </w:tr>
      <w:tr w:rsidR="00C706EE" w14:paraId="393F350C" w14:textId="77777777" w:rsidTr="00BC3E24">
        <w:tc>
          <w:tcPr>
            <w:tcW w:w="5579" w:type="dxa"/>
            <w:tcBorders>
              <w:left w:val="single" w:sz="12" w:space="0" w:color="auto"/>
            </w:tcBorders>
          </w:tcPr>
          <w:p w14:paraId="333B50BC" w14:textId="77777777" w:rsidR="00C706EE" w:rsidRDefault="00F25CEF" w:rsidP="00F25CEF">
            <w:pPr>
              <w:tabs>
                <w:tab w:val="left" w:pos="1575"/>
              </w:tabs>
              <w:jc w:val="both"/>
              <w:rPr>
                <w:rFonts w:ascii="Times New Roman" w:hAnsi="Times New Roman" w:cs="Times New Roman"/>
                <w:b/>
                <w:sz w:val="24"/>
                <w:szCs w:val="24"/>
              </w:rPr>
            </w:pPr>
            <w:r w:rsidRPr="00F25CEF">
              <w:rPr>
                <w:rFonts w:ascii="Times New Roman" w:hAnsi="Times New Roman" w:cs="Times New Roman"/>
                <w:b/>
                <w:sz w:val="24"/>
                <w:szCs w:val="24"/>
              </w:rPr>
              <w:t>3. Interrogation sur le codage à adopter pour ces situations qui ne relèvent pas stricto sensu du hors AMM, car il y a une indication d’AMM européenne.</w:t>
            </w:r>
          </w:p>
          <w:p w14:paraId="05951BD6" w14:textId="77777777" w:rsidR="004206D7" w:rsidRDefault="004206D7" w:rsidP="00F25CEF">
            <w:pPr>
              <w:tabs>
                <w:tab w:val="left" w:pos="1575"/>
              </w:tabs>
              <w:jc w:val="both"/>
              <w:rPr>
                <w:rFonts w:ascii="Times New Roman" w:hAnsi="Times New Roman" w:cs="Times New Roman"/>
                <w:b/>
                <w:sz w:val="24"/>
                <w:szCs w:val="24"/>
              </w:rPr>
            </w:pPr>
          </w:p>
        </w:tc>
        <w:tc>
          <w:tcPr>
            <w:tcW w:w="9075" w:type="dxa"/>
            <w:tcBorders>
              <w:right w:val="single" w:sz="12" w:space="0" w:color="auto"/>
            </w:tcBorders>
          </w:tcPr>
          <w:p w14:paraId="4459848F" w14:textId="7FE2F286" w:rsidR="00C706EE" w:rsidRPr="00C706EE" w:rsidRDefault="00F25CEF" w:rsidP="00BC3E24">
            <w:pPr>
              <w:jc w:val="both"/>
              <w:rPr>
                <w:rFonts w:ascii="Times New Roman" w:hAnsi="Times New Roman" w:cs="Times New Roman"/>
                <w:sz w:val="24"/>
                <w:szCs w:val="24"/>
              </w:rPr>
            </w:pPr>
            <w:r w:rsidRPr="00F25CEF">
              <w:rPr>
                <w:rFonts w:ascii="Times New Roman" w:hAnsi="Times New Roman" w:cs="Times New Roman"/>
                <w:sz w:val="24"/>
                <w:szCs w:val="24"/>
              </w:rPr>
              <w:t xml:space="preserve">Par principe, l'obtention d'une AMM ne préjuge pas de la prise en charge par l'assurance maladie. Ainsi, ces indications bénéficiant d'une AMM européenne (hors les cas </w:t>
            </w:r>
            <w:r w:rsidR="00BC3E24">
              <w:rPr>
                <w:rFonts w:ascii="Times New Roman" w:hAnsi="Times New Roman" w:cs="Times New Roman"/>
                <w:sz w:val="24"/>
                <w:szCs w:val="24"/>
              </w:rPr>
              <w:t>AAP</w:t>
            </w:r>
            <w:r w:rsidRPr="00F25CEF">
              <w:rPr>
                <w:rFonts w:ascii="Times New Roman" w:hAnsi="Times New Roman" w:cs="Times New Roman"/>
                <w:sz w:val="24"/>
                <w:szCs w:val="24"/>
              </w:rPr>
              <w:t>/</w:t>
            </w:r>
            <w:r w:rsidR="00BC3E24">
              <w:rPr>
                <w:rFonts w:ascii="Times New Roman" w:hAnsi="Times New Roman" w:cs="Times New Roman"/>
                <w:sz w:val="24"/>
                <w:szCs w:val="24"/>
              </w:rPr>
              <w:t>CPC)</w:t>
            </w:r>
            <w:r w:rsidRPr="00F25CEF">
              <w:rPr>
                <w:rFonts w:ascii="Times New Roman" w:hAnsi="Times New Roman" w:cs="Times New Roman"/>
                <w:sz w:val="24"/>
                <w:szCs w:val="24"/>
              </w:rPr>
              <w:t xml:space="preserve"> ne sont pas prises en charge. Elles ne doivent donc pas faire l'objet d'une facturation au titre de </w:t>
            </w:r>
            <w:proofErr w:type="spellStart"/>
            <w:r w:rsidRPr="00F25CEF">
              <w:rPr>
                <w:rFonts w:ascii="Times New Roman" w:hAnsi="Times New Roman" w:cs="Times New Roman"/>
                <w:sz w:val="24"/>
                <w:szCs w:val="24"/>
              </w:rPr>
              <w:t>la</w:t>
            </w:r>
            <w:proofErr w:type="spellEnd"/>
            <w:r w:rsidRPr="00F25CEF">
              <w:rPr>
                <w:rFonts w:ascii="Times New Roman" w:hAnsi="Times New Roman" w:cs="Times New Roman"/>
                <w:sz w:val="24"/>
                <w:szCs w:val="24"/>
              </w:rPr>
              <w:t xml:space="preserve"> LES.</w:t>
            </w:r>
          </w:p>
        </w:tc>
      </w:tr>
      <w:tr w:rsidR="00C706EE" w14:paraId="7672C00B" w14:textId="77777777" w:rsidTr="00BC3E24">
        <w:tc>
          <w:tcPr>
            <w:tcW w:w="5579" w:type="dxa"/>
            <w:tcBorders>
              <w:left w:val="single" w:sz="12" w:space="0" w:color="auto"/>
            </w:tcBorders>
          </w:tcPr>
          <w:p w14:paraId="439C871E" w14:textId="12C19179" w:rsidR="00C706EE" w:rsidRDefault="00BC3E24" w:rsidP="00C706EE">
            <w:pPr>
              <w:jc w:val="both"/>
              <w:rPr>
                <w:rFonts w:ascii="Times New Roman" w:hAnsi="Times New Roman" w:cs="Times New Roman"/>
                <w:b/>
                <w:sz w:val="24"/>
                <w:szCs w:val="24"/>
              </w:rPr>
            </w:pPr>
            <w:r>
              <w:rPr>
                <w:rFonts w:ascii="Times New Roman" w:hAnsi="Times New Roman" w:cs="Times New Roman"/>
                <w:b/>
                <w:sz w:val="24"/>
                <w:szCs w:val="24"/>
              </w:rPr>
              <w:t>4</w:t>
            </w:r>
            <w:r w:rsidR="00F25CEF" w:rsidRPr="00F25CEF">
              <w:rPr>
                <w:rFonts w:ascii="Times New Roman" w:hAnsi="Times New Roman" w:cs="Times New Roman"/>
                <w:b/>
                <w:sz w:val="24"/>
                <w:szCs w:val="24"/>
              </w:rPr>
              <w:t>. Les établissements doivent-ils déclarer dans le PMSI les codes indication correspondant à une indication d’AMM non prise en charge en sus des GHS</w:t>
            </w:r>
            <w:r w:rsidR="00592A44">
              <w:rPr>
                <w:rFonts w:ascii="Times New Roman" w:hAnsi="Times New Roman" w:cs="Times New Roman"/>
                <w:b/>
                <w:sz w:val="24"/>
                <w:szCs w:val="24"/>
              </w:rPr>
              <w:t>/GMT</w:t>
            </w:r>
            <w:r w:rsidR="00F25CEF" w:rsidRPr="00F25CEF">
              <w:rPr>
                <w:rFonts w:ascii="Times New Roman" w:hAnsi="Times New Roman" w:cs="Times New Roman"/>
                <w:b/>
                <w:sz w:val="24"/>
                <w:szCs w:val="24"/>
              </w:rPr>
              <w:t xml:space="preserve"> (dans un but informatif) ?</w:t>
            </w:r>
          </w:p>
          <w:p w14:paraId="66F85F17" w14:textId="77777777" w:rsidR="004206D7" w:rsidRDefault="004206D7" w:rsidP="00C706EE">
            <w:pPr>
              <w:jc w:val="both"/>
              <w:rPr>
                <w:rFonts w:ascii="Times New Roman" w:hAnsi="Times New Roman" w:cs="Times New Roman"/>
                <w:b/>
                <w:sz w:val="24"/>
                <w:szCs w:val="24"/>
              </w:rPr>
            </w:pPr>
          </w:p>
        </w:tc>
        <w:tc>
          <w:tcPr>
            <w:tcW w:w="9075" w:type="dxa"/>
            <w:tcBorders>
              <w:right w:val="single" w:sz="12" w:space="0" w:color="auto"/>
            </w:tcBorders>
          </w:tcPr>
          <w:p w14:paraId="6164E359" w14:textId="77777777" w:rsidR="00C706EE" w:rsidRPr="00C706EE" w:rsidRDefault="00F25CEF" w:rsidP="00C706EE">
            <w:pPr>
              <w:jc w:val="both"/>
              <w:rPr>
                <w:rFonts w:ascii="Times New Roman" w:hAnsi="Times New Roman" w:cs="Times New Roman"/>
                <w:sz w:val="24"/>
                <w:szCs w:val="24"/>
              </w:rPr>
            </w:pPr>
            <w:r w:rsidRPr="00F25CEF">
              <w:rPr>
                <w:rFonts w:ascii="Times New Roman" w:hAnsi="Times New Roman" w:cs="Times New Roman"/>
                <w:sz w:val="24"/>
                <w:szCs w:val="24"/>
              </w:rPr>
              <w:lastRenderedPageBreak/>
              <w:t>Les établissements peuvent déclarer dans le PMSI un code indication non pris en charge en sus afin d'avoir une lisibilité sur les pratiques. Cependant, cette déclaration ne fera l'objet d'aucune valorisation.</w:t>
            </w:r>
          </w:p>
        </w:tc>
      </w:tr>
      <w:tr w:rsidR="00C706EE" w14:paraId="05D59FE9" w14:textId="77777777" w:rsidTr="00BC3E24">
        <w:tc>
          <w:tcPr>
            <w:tcW w:w="5579" w:type="dxa"/>
            <w:tcBorders>
              <w:left w:val="single" w:sz="12" w:space="0" w:color="auto"/>
            </w:tcBorders>
          </w:tcPr>
          <w:p w14:paraId="2B3E69B9" w14:textId="3731C73C" w:rsidR="00C706EE" w:rsidRDefault="00BC3E24" w:rsidP="00F25CEF">
            <w:pPr>
              <w:tabs>
                <w:tab w:val="left" w:pos="900"/>
              </w:tabs>
              <w:jc w:val="both"/>
              <w:rPr>
                <w:rFonts w:ascii="Times New Roman" w:hAnsi="Times New Roman" w:cs="Times New Roman"/>
                <w:b/>
                <w:sz w:val="24"/>
                <w:szCs w:val="24"/>
              </w:rPr>
            </w:pPr>
            <w:r>
              <w:rPr>
                <w:rFonts w:ascii="Times New Roman" w:hAnsi="Times New Roman" w:cs="Times New Roman"/>
                <w:b/>
                <w:sz w:val="24"/>
                <w:szCs w:val="24"/>
              </w:rPr>
              <w:t>5</w:t>
            </w:r>
            <w:r w:rsidR="00F25CEF" w:rsidRPr="00F25CEF">
              <w:rPr>
                <w:rFonts w:ascii="Times New Roman" w:hAnsi="Times New Roman" w:cs="Times New Roman"/>
                <w:b/>
                <w:sz w:val="24"/>
                <w:szCs w:val="24"/>
              </w:rPr>
              <w:t>. Modalités de codage d’une indication hors AMM s’apparentant à une indication AMM non prise en charge en sus des GHS</w:t>
            </w:r>
            <w:r w:rsidR="00592A44">
              <w:rPr>
                <w:rFonts w:ascii="Times New Roman" w:hAnsi="Times New Roman" w:cs="Times New Roman"/>
                <w:b/>
                <w:sz w:val="24"/>
                <w:szCs w:val="24"/>
              </w:rPr>
              <w:t>/GMT</w:t>
            </w:r>
            <w:r w:rsidR="004206D7">
              <w:rPr>
                <w:rFonts w:ascii="Times New Roman" w:hAnsi="Times New Roman" w:cs="Times New Roman"/>
                <w:b/>
                <w:sz w:val="24"/>
                <w:szCs w:val="24"/>
              </w:rPr>
              <w:t>.</w:t>
            </w:r>
          </w:p>
          <w:p w14:paraId="146A9E46" w14:textId="77777777" w:rsidR="004206D7" w:rsidRDefault="004206D7" w:rsidP="00F25CEF">
            <w:pPr>
              <w:tabs>
                <w:tab w:val="left" w:pos="900"/>
              </w:tabs>
              <w:jc w:val="both"/>
              <w:rPr>
                <w:rFonts w:ascii="Times New Roman" w:hAnsi="Times New Roman" w:cs="Times New Roman"/>
                <w:b/>
                <w:sz w:val="24"/>
                <w:szCs w:val="24"/>
              </w:rPr>
            </w:pPr>
          </w:p>
        </w:tc>
        <w:tc>
          <w:tcPr>
            <w:tcW w:w="9075" w:type="dxa"/>
            <w:tcBorders>
              <w:right w:val="single" w:sz="12" w:space="0" w:color="auto"/>
            </w:tcBorders>
          </w:tcPr>
          <w:p w14:paraId="5946A285" w14:textId="77777777" w:rsidR="00C706EE" w:rsidRPr="00C706EE" w:rsidRDefault="00F25CEF" w:rsidP="00F25CEF">
            <w:pPr>
              <w:jc w:val="both"/>
              <w:rPr>
                <w:rFonts w:ascii="Times New Roman" w:hAnsi="Times New Roman" w:cs="Times New Roman"/>
                <w:sz w:val="24"/>
                <w:szCs w:val="24"/>
              </w:rPr>
            </w:pPr>
            <w:r w:rsidRPr="00F25CEF">
              <w:rPr>
                <w:rFonts w:ascii="Times New Roman" w:hAnsi="Times New Roman" w:cs="Times New Roman"/>
                <w:sz w:val="24"/>
                <w:szCs w:val="24"/>
              </w:rPr>
              <w:t xml:space="preserve">Dans ces cas, aucune </w:t>
            </w:r>
            <w:r w:rsidR="00DF0114" w:rsidRPr="00F25CEF">
              <w:rPr>
                <w:rFonts w:ascii="Times New Roman" w:hAnsi="Times New Roman" w:cs="Times New Roman"/>
                <w:sz w:val="24"/>
                <w:szCs w:val="24"/>
              </w:rPr>
              <w:t>déclaration</w:t>
            </w:r>
            <w:r w:rsidRPr="00F25CEF">
              <w:rPr>
                <w:rFonts w:ascii="Times New Roman" w:hAnsi="Times New Roman" w:cs="Times New Roman"/>
                <w:sz w:val="24"/>
                <w:szCs w:val="24"/>
              </w:rPr>
              <w:t xml:space="preserve"> des codes indications n'est requise. Cependant, la déclaration peut porter sur le code indication non pris en charge en sus bien qu'il n'ouvrira pas droit à la prise en charge.</w:t>
            </w:r>
          </w:p>
        </w:tc>
      </w:tr>
      <w:tr w:rsidR="00C706EE" w14:paraId="6EE8846F" w14:textId="77777777" w:rsidTr="00BC3E24">
        <w:tc>
          <w:tcPr>
            <w:tcW w:w="5579" w:type="dxa"/>
            <w:tcBorders>
              <w:left w:val="single" w:sz="12" w:space="0" w:color="auto"/>
            </w:tcBorders>
          </w:tcPr>
          <w:p w14:paraId="6F646E15" w14:textId="60E3A93C" w:rsidR="00F25CEF" w:rsidRPr="00F25CEF" w:rsidRDefault="00BC3E24" w:rsidP="00F25CEF">
            <w:pPr>
              <w:tabs>
                <w:tab w:val="left" w:pos="1665"/>
              </w:tabs>
              <w:jc w:val="both"/>
              <w:rPr>
                <w:rFonts w:ascii="Times New Roman" w:hAnsi="Times New Roman" w:cs="Times New Roman"/>
                <w:b/>
                <w:sz w:val="24"/>
                <w:szCs w:val="24"/>
              </w:rPr>
            </w:pPr>
            <w:r>
              <w:rPr>
                <w:rFonts w:ascii="Times New Roman" w:hAnsi="Times New Roman" w:cs="Times New Roman"/>
                <w:b/>
                <w:sz w:val="24"/>
                <w:szCs w:val="24"/>
              </w:rPr>
              <w:t>6</w:t>
            </w:r>
            <w:r w:rsidR="00F25CEF" w:rsidRPr="00F25CEF">
              <w:rPr>
                <w:rFonts w:ascii="Times New Roman" w:hAnsi="Times New Roman" w:cs="Times New Roman"/>
                <w:b/>
                <w:sz w:val="24"/>
                <w:szCs w:val="24"/>
              </w:rPr>
              <w:t xml:space="preserve">. Quelles sont les modalités de codage des médicaments « B » faisant l’objet d’une AMM « miroir » </w:t>
            </w:r>
            <w:r w:rsidR="00F25CEF" w:rsidRPr="00F25CEF">
              <w:rPr>
                <w:rFonts w:ascii="Times New Roman" w:hAnsi="Times New Roman" w:cs="Times New Roman"/>
                <w:sz w:val="24"/>
                <w:szCs w:val="24"/>
              </w:rPr>
              <w:t xml:space="preserve">(indication d’AMM attribuée pour un médicament A en association à un médicament B – le médicament B ne dispose pas d’AMM en association au médicament A) </w:t>
            </w:r>
            <w:r w:rsidR="00F25CEF" w:rsidRPr="00F25CEF">
              <w:rPr>
                <w:rFonts w:ascii="Times New Roman" w:hAnsi="Times New Roman" w:cs="Times New Roman"/>
                <w:b/>
                <w:sz w:val="24"/>
                <w:szCs w:val="24"/>
              </w:rPr>
              <w:t>et inscrits sur la liste en sus pour au moins l’une de ses indications d’AMM ?</w:t>
            </w:r>
          </w:p>
          <w:p w14:paraId="7ADFFD8F" w14:textId="77777777" w:rsidR="00F25CEF" w:rsidRPr="00F25CEF" w:rsidRDefault="00F25CEF" w:rsidP="00F25CEF">
            <w:pPr>
              <w:tabs>
                <w:tab w:val="left" w:pos="1665"/>
              </w:tabs>
              <w:jc w:val="both"/>
              <w:rPr>
                <w:rFonts w:ascii="Times New Roman" w:hAnsi="Times New Roman" w:cs="Times New Roman"/>
                <w:b/>
                <w:sz w:val="24"/>
                <w:szCs w:val="24"/>
              </w:rPr>
            </w:pPr>
          </w:p>
          <w:p w14:paraId="0995BBF2" w14:textId="77777777" w:rsidR="00F25CEF" w:rsidRPr="00F25CEF" w:rsidRDefault="00F25CEF" w:rsidP="00F25CEF">
            <w:pPr>
              <w:tabs>
                <w:tab w:val="left" w:pos="1665"/>
              </w:tabs>
              <w:jc w:val="both"/>
              <w:rPr>
                <w:rFonts w:ascii="Times New Roman" w:hAnsi="Times New Roman" w:cs="Times New Roman"/>
                <w:b/>
                <w:sz w:val="24"/>
                <w:szCs w:val="24"/>
              </w:rPr>
            </w:pPr>
          </w:p>
          <w:p w14:paraId="5057DA07" w14:textId="482C5C0D" w:rsidR="00F25CEF" w:rsidRDefault="00F25CEF" w:rsidP="00F25CEF">
            <w:pPr>
              <w:tabs>
                <w:tab w:val="left" w:pos="1665"/>
              </w:tabs>
              <w:jc w:val="both"/>
              <w:rPr>
                <w:rFonts w:ascii="Times New Roman" w:hAnsi="Times New Roman" w:cs="Times New Roman"/>
                <w:b/>
                <w:sz w:val="24"/>
                <w:szCs w:val="24"/>
                <w:u w:val="single"/>
              </w:rPr>
            </w:pPr>
            <w:r w:rsidRPr="00F25CEF">
              <w:rPr>
                <w:rFonts w:ascii="Times New Roman" w:hAnsi="Times New Roman" w:cs="Times New Roman"/>
                <w:b/>
                <w:sz w:val="24"/>
                <w:szCs w:val="24"/>
                <w:u w:val="single"/>
              </w:rPr>
              <w:t>Cas n°</w:t>
            </w:r>
            <w:r w:rsidR="008B42EC">
              <w:rPr>
                <w:rFonts w:ascii="Times New Roman" w:hAnsi="Times New Roman" w:cs="Times New Roman"/>
                <w:b/>
                <w:sz w:val="24"/>
                <w:szCs w:val="24"/>
                <w:u w:val="single"/>
              </w:rPr>
              <w:t xml:space="preserve">3 </w:t>
            </w:r>
            <w:r w:rsidRPr="00F25CEF">
              <w:rPr>
                <w:rFonts w:ascii="Times New Roman" w:hAnsi="Times New Roman" w:cs="Times New Roman"/>
                <w:b/>
                <w:sz w:val="24"/>
                <w:szCs w:val="24"/>
                <w:u w:val="single"/>
              </w:rPr>
              <w:t xml:space="preserve">: </w:t>
            </w:r>
          </w:p>
          <w:p w14:paraId="531894E6" w14:textId="369B686E" w:rsidR="008B42EC" w:rsidRPr="00F25CEF" w:rsidRDefault="008B42EC" w:rsidP="008B42EC">
            <w:pPr>
              <w:tabs>
                <w:tab w:val="left" w:pos="1665"/>
              </w:tabs>
              <w:jc w:val="both"/>
              <w:rPr>
                <w:rFonts w:ascii="Times New Roman" w:hAnsi="Times New Roman" w:cs="Times New Roman"/>
                <w:b/>
                <w:sz w:val="24"/>
                <w:szCs w:val="24"/>
              </w:rPr>
            </w:pPr>
            <w:r w:rsidRPr="00F25CEF">
              <w:rPr>
                <w:rFonts w:ascii="Times New Roman" w:hAnsi="Times New Roman" w:cs="Times New Roman"/>
                <w:b/>
                <w:sz w:val="24"/>
                <w:szCs w:val="24"/>
              </w:rPr>
              <w:t xml:space="preserve">• A = Médicament pris en charge </w:t>
            </w:r>
            <w:r>
              <w:rPr>
                <w:rFonts w:ascii="Times New Roman" w:hAnsi="Times New Roman" w:cs="Times New Roman"/>
                <w:b/>
                <w:sz w:val="24"/>
                <w:szCs w:val="24"/>
              </w:rPr>
              <w:t>en sus</w:t>
            </w:r>
            <w:r w:rsidRPr="00F25CEF">
              <w:rPr>
                <w:rFonts w:ascii="Times New Roman" w:hAnsi="Times New Roman" w:cs="Times New Roman"/>
                <w:b/>
                <w:sz w:val="24"/>
                <w:szCs w:val="24"/>
              </w:rPr>
              <w:t xml:space="preserve"> des GHS</w:t>
            </w:r>
          </w:p>
          <w:p w14:paraId="71152221" w14:textId="77777777" w:rsidR="008B42EC" w:rsidRDefault="008B42EC" w:rsidP="008B42EC">
            <w:pPr>
              <w:tabs>
                <w:tab w:val="left" w:pos="1665"/>
              </w:tabs>
              <w:jc w:val="both"/>
              <w:rPr>
                <w:rFonts w:ascii="Times New Roman" w:hAnsi="Times New Roman" w:cs="Times New Roman"/>
                <w:b/>
                <w:sz w:val="24"/>
                <w:szCs w:val="24"/>
              </w:rPr>
            </w:pPr>
            <w:proofErr w:type="gramStart"/>
            <w:r w:rsidRPr="00F25CEF">
              <w:rPr>
                <w:rFonts w:ascii="Times New Roman" w:hAnsi="Times New Roman" w:cs="Times New Roman"/>
                <w:b/>
                <w:sz w:val="24"/>
                <w:szCs w:val="24"/>
              </w:rPr>
              <w:t>et</w:t>
            </w:r>
            <w:proofErr w:type="gramEnd"/>
            <w:r w:rsidRPr="00F25CEF">
              <w:rPr>
                <w:rFonts w:ascii="Times New Roman" w:hAnsi="Times New Roman" w:cs="Times New Roman"/>
                <w:b/>
                <w:sz w:val="24"/>
                <w:szCs w:val="24"/>
              </w:rPr>
              <w:t xml:space="preserve"> B = Médicament pris en charge en sus des GHS pour au moins une de ses indications mais ne comportant pas d’AMM en association avec le médicament A</w:t>
            </w:r>
          </w:p>
          <w:p w14:paraId="02B754FD" w14:textId="5D2BA67E" w:rsidR="008B42EC" w:rsidRPr="004F52E2" w:rsidRDefault="008B42EC" w:rsidP="004F52E2">
            <w:pPr>
              <w:pStyle w:val="Paragraphedeliste"/>
              <w:tabs>
                <w:tab w:val="left" w:pos="1665"/>
              </w:tabs>
              <w:ind w:left="29"/>
              <w:jc w:val="both"/>
              <w:rPr>
                <w:rFonts w:ascii="Times New Roman" w:hAnsi="Times New Roman" w:cs="Times New Roman"/>
                <w:b/>
                <w:sz w:val="24"/>
                <w:szCs w:val="24"/>
              </w:rPr>
            </w:pPr>
            <w:r w:rsidRPr="004F52E2">
              <w:rPr>
                <w:rFonts w:ascii="Times New Roman" w:hAnsi="Times New Roman" w:cs="Times New Roman"/>
                <w:b/>
                <w:sz w:val="24"/>
                <w:szCs w:val="24"/>
              </w:rPr>
              <w:t xml:space="preserve">Ex : </w:t>
            </w:r>
            <w:proofErr w:type="spellStart"/>
            <w:r>
              <w:rPr>
                <w:rFonts w:ascii="Times New Roman" w:hAnsi="Times New Roman" w:cs="Times New Roman"/>
                <w:b/>
                <w:sz w:val="24"/>
                <w:szCs w:val="24"/>
              </w:rPr>
              <w:t>Tukysa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tucatinib</w:t>
            </w:r>
            <w:proofErr w:type="spellEnd"/>
            <w:r>
              <w:rPr>
                <w:rFonts w:ascii="Times New Roman" w:hAnsi="Times New Roman" w:cs="Times New Roman"/>
                <w:b/>
                <w:sz w:val="24"/>
                <w:szCs w:val="24"/>
              </w:rPr>
              <w:t>) (médicament A) e</w:t>
            </w:r>
            <w:r w:rsidRPr="008B42EC">
              <w:rPr>
                <w:rFonts w:ascii="Times New Roman" w:hAnsi="Times New Roman" w:cs="Times New Roman"/>
                <w:b/>
                <w:sz w:val="24"/>
                <w:szCs w:val="24"/>
              </w:rPr>
              <w:t xml:space="preserve">n association avec le </w:t>
            </w:r>
            <w:r w:rsidRPr="004F52E2">
              <w:rPr>
                <w:rFonts w:ascii="Times New Roman" w:hAnsi="Times New Roman" w:cs="Times New Roman"/>
                <w:b/>
                <w:sz w:val="24"/>
                <w:szCs w:val="24"/>
                <w:u w:val="single"/>
              </w:rPr>
              <w:t>trastuzumab</w:t>
            </w:r>
            <w:r w:rsidRPr="008B42EC">
              <w:rPr>
                <w:rFonts w:ascii="Times New Roman" w:hAnsi="Times New Roman" w:cs="Times New Roman"/>
                <w:b/>
                <w:sz w:val="24"/>
                <w:szCs w:val="24"/>
              </w:rPr>
              <w:t xml:space="preserve"> </w:t>
            </w:r>
            <w:r>
              <w:rPr>
                <w:rFonts w:ascii="Times New Roman" w:hAnsi="Times New Roman" w:cs="Times New Roman"/>
                <w:b/>
                <w:sz w:val="24"/>
                <w:szCs w:val="24"/>
              </w:rPr>
              <w:t xml:space="preserve">(médicament B) </w:t>
            </w:r>
            <w:r w:rsidRPr="008B42EC">
              <w:rPr>
                <w:rFonts w:ascii="Times New Roman" w:hAnsi="Times New Roman" w:cs="Times New Roman"/>
                <w:b/>
                <w:sz w:val="24"/>
                <w:szCs w:val="24"/>
              </w:rPr>
              <w:t xml:space="preserve">et la </w:t>
            </w:r>
            <w:proofErr w:type="spellStart"/>
            <w:r w:rsidRPr="008B42EC">
              <w:rPr>
                <w:rFonts w:ascii="Times New Roman" w:hAnsi="Times New Roman" w:cs="Times New Roman"/>
                <w:b/>
                <w:sz w:val="24"/>
                <w:szCs w:val="24"/>
              </w:rPr>
              <w:t>capécitabine</w:t>
            </w:r>
            <w:proofErr w:type="spellEnd"/>
            <w:r w:rsidRPr="008B42EC">
              <w:rPr>
                <w:rFonts w:ascii="Times New Roman" w:hAnsi="Times New Roman" w:cs="Times New Roman"/>
                <w:b/>
                <w:sz w:val="24"/>
                <w:szCs w:val="24"/>
              </w:rPr>
              <w:t xml:space="preserve"> pour le traitement des patients adultes atteints d'un cancer du sein HER2+ localement avancé ou métastatique ayant reçu précédemment au moins 2 traitements anti-HER2</w:t>
            </w:r>
          </w:p>
          <w:p w14:paraId="4B852990" w14:textId="77777777" w:rsidR="008B42EC" w:rsidRDefault="008B42EC" w:rsidP="00F25CEF">
            <w:pPr>
              <w:tabs>
                <w:tab w:val="left" w:pos="1665"/>
              </w:tabs>
              <w:jc w:val="both"/>
              <w:rPr>
                <w:rFonts w:ascii="Times New Roman" w:hAnsi="Times New Roman" w:cs="Times New Roman"/>
                <w:b/>
                <w:sz w:val="24"/>
                <w:szCs w:val="24"/>
                <w:u w:val="single"/>
              </w:rPr>
            </w:pPr>
          </w:p>
          <w:p w14:paraId="2AF43832" w14:textId="125D5511" w:rsidR="008B42EC" w:rsidRPr="00F25CEF" w:rsidRDefault="008B42EC" w:rsidP="00F25CEF">
            <w:pPr>
              <w:tabs>
                <w:tab w:val="left" w:pos="1665"/>
              </w:tabs>
              <w:jc w:val="both"/>
              <w:rPr>
                <w:rFonts w:ascii="Times New Roman" w:hAnsi="Times New Roman" w:cs="Times New Roman"/>
                <w:b/>
                <w:sz w:val="24"/>
                <w:szCs w:val="24"/>
                <w:u w:val="single"/>
              </w:rPr>
            </w:pPr>
            <w:r>
              <w:rPr>
                <w:rFonts w:ascii="Times New Roman" w:hAnsi="Times New Roman" w:cs="Times New Roman"/>
                <w:b/>
                <w:sz w:val="24"/>
                <w:szCs w:val="24"/>
                <w:u w:val="single"/>
              </w:rPr>
              <w:t>Cas n°6 :</w:t>
            </w:r>
          </w:p>
          <w:p w14:paraId="55541156" w14:textId="77777777" w:rsidR="00F25CEF" w:rsidRPr="00F25CEF" w:rsidRDefault="00F25CEF" w:rsidP="00F25CEF">
            <w:pPr>
              <w:tabs>
                <w:tab w:val="left" w:pos="1665"/>
              </w:tabs>
              <w:jc w:val="both"/>
              <w:rPr>
                <w:rFonts w:ascii="Times New Roman" w:hAnsi="Times New Roman" w:cs="Times New Roman"/>
                <w:b/>
                <w:sz w:val="24"/>
                <w:szCs w:val="24"/>
              </w:rPr>
            </w:pPr>
          </w:p>
          <w:p w14:paraId="152A056F" w14:textId="77777777" w:rsidR="00F25CEF" w:rsidRPr="00F25CEF" w:rsidRDefault="00F25CEF" w:rsidP="00F25CEF">
            <w:pPr>
              <w:tabs>
                <w:tab w:val="left" w:pos="1665"/>
              </w:tabs>
              <w:jc w:val="both"/>
              <w:rPr>
                <w:rFonts w:ascii="Times New Roman" w:hAnsi="Times New Roman" w:cs="Times New Roman"/>
                <w:b/>
                <w:sz w:val="24"/>
                <w:szCs w:val="24"/>
              </w:rPr>
            </w:pPr>
            <w:r w:rsidRPr="00F25CEF">
              <w:rPr>
                <w:rFonts w:ascii="Times New Roman" w:hAnsi="Times New Roman" w:cs="Times New Roman"/>
                <w:b/>
                <w:sz w:val="24"/>
                <w:szCs w:val="24"/>
              </w:rPr>
              <w:t>• A = Médicament pris en charge dans le tarif des GHS</w:t>
            </w:r>
          </w:p>
          <w:p w14:paraId="081F2A1A" w14:textId="77777777" w:rsidR="00F25CEF" w:rsidRDefault="00F25CEF" w:rsidP="00F25CEF">
            <w:pPr>
              <w:tabs>
                <w:tab w:val="left" w:pos="1665"/>
              </w:tabs>
              <w:jc w:val="both"/>
              <w:rPr>
                <w:rFonts w:ascii="Times New Roman" w:hAnsi="Times New Roman" w:cs="Times New Roman"/>
                <w:b/>
                <w:sz w:val="24"/>
                <w:szCs w:val="24"/>
              </w:rPr>
            </w:pPr>
            <w:proofErr w:type="gramStart"/>
            <w:r w:rsidRPr="00F25CEF">
              <w:rPr>
                <w:rFonts w:ascii="Times New Roman" w:hAnsi="Times New Roman" w:cs="Times New Roman"/>
                <w:b/>
                <w:sz w:val="24"/>
                <w:szCs w:val="24"/>
              </w:rPr>
              <w:t>et</w:t>
            </w:r>
            <w:proofErr w:type="gramEnd"/>
            <w:r w:rsidRPr="00F25CEF">
              <w:rPr>
                <w:rFonts w:ascii="Times New Roman" w:hAnsi="Times New Roman" w:cs="Times New Roman"/>
                <w:b/>
                <w:sz w:val="24"/>
                <w:szCs w:val="24"/>
              </w:rPr>
              <w:t xml:space="preserve"> B = Médicament pris en charge en sus des GHS pour au moins une de ses indications mais ne </w:t>
            </w:r>
            <w:r w:rsidRPr="00F25CEF">
              <w:rPr>
                <w:rFonts w:ascii="Times New Roman" w:hAnsi="Times New Roman" w:cs="Times New Roman"/>
                <w:b/>
                <w:sz w:val="24"/>
                <w:szCs w:val="24"/>
              </w:rPr>
              <w:lastRenderedPageBreak/>
              <w:t>comportant pas d’AMM en association avec le médicament A</w:t>
            </w:r>
          </w:p>
          <w:p w14:paraId="2F1422B5" w14:textId="6DC6A0F3" w:rsidR="008B42EC" w:rsidRDefault="008B42EC" w:rsidP="00F25CEF">
            <w:pPr>
              <w:tabs>
                <w:tab w:val="left" w:pos="1665"/>
              </w:tabs>
              <w:jc w:val="both"/>
              <w:rPr>
                <w:rFonts w:ascii="Times New Roman" w:hAnsi="Times New Roman" w:cs="Times New Roman"/>
                <w:b/>
                <w:sz w:val="24"/>
                <w:szCs w:val="24"/>
              </w:rPr>
            </w:pPr>
            <w:r>
              <w:rPr>
                <w:rFonts w:ascii="Times New Roman" w:hAnsi="Times New Roman" w:cs="Times New Roman"/>
                <w:b/>
                <w:sz w:val="24"/>
                <w:szCs w:val="24"/>
              </w:rPr>
              <w:t xml:space="preserve">Ex : </w:t>
            </w:r>
            <w:proofErr w:type="spellStart"/>
            <w:r w:rsidRPr="008B42EC">
              <w:rPr>
                <w:rFonts w:ascii="Times New Roman" w:hAnsi="Times New Roman" w:cs="Times New Roman"/>
                <w:b/>
                <w:sz w:val="24"/>
                <w:szCs w:val="24"/>
              </w:rPr>
              <w:t>Lynparza</w:t>
            </w:r>
            <w:proofErr w:type="spellEnd"/>
            <w:r w:rsidRPr="008B42EC">
              <w:rPr>
                <w:rFonts w:ascii="Times New Roman" w:hAnsi="Times New Roman" w:cs="Times New Roman"/>
                <w:b/>
                <w:sz w:val="24"/>
                <w:szCs w:val="24"/>
              </w:rPr>
              <w:t xml:space="preserve"> </w:t>
            </w:r>
            <w:r>
              <w:rPr>
                <w:rFonts w:ascii="Times New Roman" w:hAnsi="Times New Roman" w:cs="Times New Roman"/>
                <w:b/>
                <w:sz w:val="24"/>
                <w:szCs w:val="24"/>
              </w:rPr>
              <w:t>(</w:t>
            </w:r>
            <w:proofErr w:type="spellStart"/>
            <w:r>
              <w:rPr>
                <w:rFonts w:ascii="Times New Roman" w:hAnsi="Times New Roman" w:cs="Times New Roman"/>
                <w:b/>
                <w:sz w:val="24"/>
                <w:szCs w:val="24"/>
              </w:rPr>
              <w:t>olaparib</w:t>
            </w:r>
            <w:proofErr w:type="spellEnd"/>
            <w:r>
              <w:rPr>
                <w:rFonts w:ascii="Times New Roman" w:hAnsi="Times New Roman" w:cs="Times New Roman"/>
                <w:b/>
                <w:sz w:val="24"/>
                <w:szCs w:val="24"/>
              </w:rPr>
              <w:t xml:space="preserve">) (médicament A) </w:t>
            </w:r>
            <w:r w:rsidRPr="008B42EC">
              <w:rPr>
                <w:rFonts w:ascii="Times New Roman" w:hAnsi="Times New Roman" w:cs="Times New Roman"/>
                <w:b/>
                <w:sz w:val="24"/>
                <w:szCs w:val="24"/>
              </w:rPr>
              <w:t xml:space="preserve">en association au </w:t>
            </w:r>
            <w:proofErr w:type="spellStart"/>
            <w:r w:rsidRPr="008B42EC">
              <w:rPr>
                <w:rFonts w:ascii="Times New Roman" w:hAnsi="Times New Roman" w:cs="Times New Roman"/>
                <w:b/>
                <w:sz w:val="24"/>
                <w:szCs w:val="24"/>
              </w:rPr>
              <w:t>b</w:t>
            </w:r>
            <w:r>
              <w:rPr>
                <w:rFonts w:ascii="Times New Roman" w:hAnsi="Times New Roman" w:cs="Times New Roman"/>
                <w:b/>
                <w:sz w:val="24"/>
                <w:szCs w:val="24"/>
              </w:rPr>
              <w:t>e</w:t>
            </w:r>
            <w:r w:rsidRPr="008B42EC">
              <w:rPr>
                <w:rFonts w:ascii="Times New Roman" w:hAnsi="Times New Roman" w:cs="Times New Roman"/>
                <w:b/>
                <w:sz w:val="24"/>
                <w:szCs w:val="24"/>
              </w:rPr>
              <w:t>vacizumab</w:t>
            </w:r>
            <w:proofErr w:type="spellEnd"/>
            <w:r w:rsidRPr="008B42EC">
              <w:rPr>
                <w:rFonts w:ascii="Times New Roman" w:hAnsi="Times New Roman" w:cs="Times New Roman"/>
                <w:b/>
                <w:sz w:val="24"/>
                <w:szCs w:val="24"/>
              </w:rPr>
              <w:t xml:space="preserve"> </w:t>
            </w:r>
            <w:r>
              <w:rPr>
                <w:rFonts w:ascii="Times New Roman" w:hAnsi="Times New Roman" w:cs="Times New Roman"/>
                <w:b/>
                <w:sz w:val="24"/>
                <w:szCs w:val="24"/>
              </w:rPr>
              <w:t xml:space="preserve">(médicament B) </w:t>
            </w:r>
            <w:r w:rsidRPr="008B42EC">
              <w:rPr>
                <w:rFonts w:ascii="Times New Roman" w:hAnsi="Times New Roman" w:cs="Times New Roman"/>
                <w:b/>
                <w:sz w:val="24"/>
                <w:szCs w:val="24"/>
              </w:rPr>
              <w:t xml:space="preserve">est indiqué pour le traitement d’entretien des patientes adultes atteintes d’un cancer épithélial avancé (stades FIGO III et IV) de haut grade de l'ovaire, des trompes de Fallope ou péritonéal primitif et qui sont en réponse partielle ou complète à une première ligne de traitement associant une chimiothérapie à base de platine au </w:t>
            </w:r>
            <w:proofErr w:type="spellStart"/>
            <w:r w:rsidRPr="008B42EC">
              <w:rPr>
                <w:rFonts w:ascii="Times New Roman" w:hAnsi="Times New Roman" w:cs="Times New Roman"/>
                <w:b/>
                <w:sz w:val="24"/>
                <w:szCs w:val="24"/>
              </w:rPr>
              <w:t>bévacizumab</w:t>
            </w:r>
            <w:proofErr w:type="spellEnd"/>
            <w:r w:rsidRPr="008B42EC">
              <w:rPr>
                <w:rFonts w:ascii="Times New Roman" w:hAnsi="Times New Roman" w:cs="Times New Roman"/>
                <w:b/>
                <w:sz w:val="24"/>
                <w:szCs w:val="24"/>
              </w:rPr>
              <w:t xml:space="preserve"> et dont le cancer est associé à un statut positif de la déficience en recombinaison homologue (HRD), défini par une mutation des gènes BRCA1/2 et/ou une instabilité génomique</w:t>
            </w:r>
          </w:p>
          <w:p w14:paraId="6AEF750E" w14:textId="77777777" w:rsidR="008B42EC" w:rsidRPr="00F25CEF" w:rsidRDefault="008B42EC" w:rsidP="00F25CEF">
            <w:pPr>
              <w:tabs>
                <w:tab w:val="left" w:pos="1665"/>
              </w:tabs>
              <w:jc w:val="both"/>
              <w:rPr>
                <w:rFonts w:ascii="Times New Roman" w:hAnsi="Times New Roman" w:cs="Times New Roman"/>
                <w:b/>
                <w:sz w:val="24"/>
                <w:szCs w:val="24"/>
              </w:rPr>
            </w:pPr>
          </w:p>
          <w:p w14:paraId="2E9ED275" w14:textId="77777777" w:rsidR="00F25CEF" w:rsidRPr="00F25CEF" w:rsidRDefault="00F25CEF" w:rsidP="00F25CEF">
            <w:pPr>
              <w:tabs>
                <w:tab w:val="left" w:pos="1665"/>
              </w:tabs>
              <w:jc w:val="both"/>
              <w:rPr>
                <w:rFonts w:ascii="Times New Roman" w:hAnsi="Times New Roman" w:cs="Times New Roman"/>
                <w:b/>
                <w:sz w:val="24"/>
                <w:szCs w:val="24"/>
              </w:rPr>
            </w:pPr>
          </w:p>
          <w:p w14:paraId="1DFC9006" w14:textId="6064A191" w:rsidR="00F25CEF" w:rsidRPr="00F25CEF" w:rsidRDefault="00F94E60" w:rsidP="00F25CEF">
            <w:pPr>
              <w:tabs>
                <w:tab w:val="left" w:pos="1665"/>
              </w:tabs>
              <w:jc w:val="both"/>
              <w:rPr>
                <w:rFonts w:ascii="Times New Roman" w:hAnsi="Times New Roman" w:cs="Times New Roman"/>
                <w:b/>
                <w:sz w:val="24"/>
                <w:szCs w:val="24"/>
                <w:u w:val="single"/>
              </w:rPr>
            </w:pPr>
            <w:r>
              <w:rPr>
                <w:rFonts w:ascii="Times New Roman" w:hAnsi="Times New Roman" w:cs="Times New Roman"/>
                <w:b/>
                <w:sz w:val="24"/>
                <w:szCs w:val="24"/>
                <w:u w:val="single"/>
              </w:rPr>
              <w:t>Cas n°7</w:t>
            </w:r>
            <w:r w:rsidR="00F25CEF" w:rsidRPr="00F25CEF">
              <w:rPr>
                <w:rFonts w:ascii="Times New Roman" w:hAnsi="Times New Roman" w:cs="Times New Roman"/>
                <w:b/>
                <w:sz w:val="24"/>
                <w:szCs w:val="24"/>
                <w:u w:val="single"/>
              </w:rPr>
              <w:t xml:space="preserve">: </w:t>
            </w:r>
          </w:p>
          <w:p w14:paraId="7D2DEE86" w14:textId="77777777" w:rsidR="00F25CEF" w:rsidRPr="00F25CEF" w:rsidRDefault="00F25CEF" w:rsidP="00F25CEF">
            <w:pPr>
              <w:tabs>
                <w:tab w:val="left" w:pos="1665"/>
              </w:tabs>
              <w:jc w:val="both"/>
              <w:rPr>
                <w:rFonts w:ascii="Times New Roman" w:hAnsi="Times New Roman" w:cs="Times New Roman"/>
                <w:b/>
                <w:sz w:val="24"/>
                <w:szCs w:val="24"/>
              </w:rPr>
            </w:pPr>
          </w:p>
          <w:p w14:paraId="66247B4B" w14:textId="7A758EE8" w:rsidR="00F25CEF" w:rsidRPr="00F25CEF" w:rsidRDefault="00F25CEF" w:rsidP="00F25CEF">
            <w:pPr>
              <w:tabs>
                <w:tab w:val="left" w:pos="1665"/>
              </w:tabs>
              <w:jc w:val="both"/>
              <w:rPr>
                <w:rFonts w:ascii="Times New Roman" w:hAnsi="Times New Roman" w:cs="Times New Roman"/>
                <w:b/>
                <w:sz w:val="24"/>
                <w:szCs w:val="24"/>
              </w:rPr>
            </w:pPr>
            <w:r w:rsidRPr="00F25CEF">
              <w:rPr>
                <w:rFonts w:ascii="Times New Roman" w:hAnsi="Times New Roman" w:cs="Times New Roman"/>
                <w:b/>
                <w:sz w:val="24"/>
                <w:szCs w:val="24"/>
              </w:rPr>
              <w:t xml:space="preserve">• A = Médicament relevant du dispositif </w:t>
            </w:r>
            <w:r w:rsidR="00BC3E24">
              <w:rPr>
                <w:rFonts w:ascii="Times New Roman" w:hAnsi="Times New Roman" w:cs="Times New Roman"/>
                <w:b/>
                <w:sz w:val="24"/>
                <w:szCs w:val="24"/>
              </w:rPr>
              <w:t>AAP</w:t>
            </w:r>
          </w:p>
          <w:p w14:paraId="209AECC0" w14:textId="77777777" w:rsidR="00F25CEF" w:rsidRPr="00F25CEF" w:rsidRDefault="00F25CEF" w:rsidP="00F25CEF">
            <w:pPr>
              <w:tabs>
                <w:tab w:val="left" w:pos="1665"/>
              </w:tabs>
              <w:jc w:val="both"/>
              <w:rPr>
                <w:rFonts w:ascii="Times New Roman" w:hAnsi="Times New Roman" w:cs="Times New Roman"/>
                <w:b/>
                <w:sz w:val="24"/>
                <w:szCs w:val="24"/>
              </w:rPr>
            </w:pPr>
            <w:proofErr w:type="gramStart"/>
            <w:r w:rsidRPr="00F25CEF">
              <w:rPr>
                <w:rFonts w:ascii="Times New Roman" w:hAnsi="Times New Roman" w:cs="Times New Roman"/>
                <w:b/>
                <w:sz w:val="24"/>
                <w:szCs w:val="24"/>
              </w:rPr>
              <w:t>et</w:t>
            </w:r>
            <w:proofErr w:type="gramEnd"/>
            <w:r w:rsidRPr="00F25CEF">
              <w:rPr>
                <w:rFonts w:ascii="Times New Roman" w:hAnsi="Times New Roman" w:cs="Times New Roman"/>
                <w:b/>
                <w:sz w:val="24"/>
                <w:szCs w:val="24"/>
              </w:rPr>
              <w:t xml:space="preserve"> B = Médicament pris en charge en sus des GHS pour au moins une de ses indications mais ne comportant pas d’AMM en association avec le médicament A</w:t>
            </w:r>
          </w:p>
          <w:p w14:paraId="727948EE" w14:textId="68D43C75" w:rsidR="00C706EE" w:rsidRDefault="00F25CEF" w:rsidP="00F25CEF">
            <w:pPr>
              <w:tabs>
                <w:tab w:val="left" w:pos="1665"/>
              </w:tabs>
              <w:jc w:val="both"/>
              <w:rPr>
                <w:rFonts w:ascii="Times New Roman" w:hAnsi="Times New Roman" w:cs="Times New Roman"/>
                <w:b/>
                <w:sz w:val="24"/>
                <w:szCs w:val="24"/>
              </w:rPr>
            </w:pPr>
            <w:r w:rsidRPr="00F25CEF">
              <w:rPr>
                <w:rFonts w:ascii="Times New Roman" w:hAnsi="Times New Roman" w:cs="Times New Roman"/>
                <w:b/>
                <w:sz w:val="24"/>
                <w:szCs w:val="24"/>
              </w:rPr>
              <w:t xml:space="preserve">Ex : </w:t>
            </w:r>
            <w:proofErr w:type="spellStart"/>
            <w:r w:rsidR="008B42EC">
              <w:rPr>
                <w:rFonts w:ascii="Times New Roman" w:hAnsi="Times New Roman" w:cs="Times New Roman"/>
                <w:b/>
                <w:sz w:val="24"/>
                <w:szCs w:val="24"/>
              </w:rPr>
              <w:t>Rybrevant</w:t>
            </w:r>
            <w:proofErr w:type="spellEnd"/>
            <w:r w:rsidR="008B42EC">
              <w:rPr>
                <w:rFonts w:ascii="Times New Roman" w:hAnsi="Times New Roman" w:cs="Times New Roman"/>
                <w:b/>
                <w:sz w:val="24"/>
                <w:szCs w:val="24"/>
              </w:rPr>
              <w:t xml:space="preserve"> (</w:t>
            </w:r>
            <w:proofErr w:type="spellStart"/>
            <w:r w:rsidR="008B42EC">
              <w:rPr>
                <w:rFonts w:ascii="Times New Roman" w:hAnsi="Times New Roman" w:cs="Times New Roman"/>
                <w:b/>
                <w:sz w:val="24"/>
                <w:szCs w:val="24"/>
              </w:rPr>
              <w:t>amivantamab</w:t>
            </w:r>
            <w:proofErr w:type="spellEnd"/>
            <w:r w:rsidR="008B42EC">
              <w:rPr>
                <w:rFonts w:ascii="Times New Roman" w:hAnsi="Times New Roman" w:cs="Times New Roman"/>
                <w:b/>
                <w:sz w:val="24"/>
                <w:szCs w:val="24"/>
              </w:rPr>
              <w:t>) (médicament A) est indiqué e</w:t>
            </w:r>
            <w:r w:rsidR="008B42EC" w:rsidRPr="008B42EC">
              <w:rPr>
                <w:rFonts w:ascii="Times New Roman" w:hAnsi="Times New Roman" w:cs="Times New Roman"/>
                <w:b/>
                <w:sz w:val="24"/>
                <w:szCs w:val="24"/>
              </w:rPr>
              <w:t xml:space="preserve">n association au </w:t>
            </w:r>
            <w:proofErr w:type="spellStart"/>
            <w:r w:rsidR="008B42EC" w:rsidRPr="008B42EC">
              <w:rPr>
                <w:rFonts w:ascii="Times New Roman" w:hAnsi="Times New Roman" w:cs="Times New Roman"/>
                <w:b/>
                <w:sz w:val="24"/>
                <w:szCs w:val="24"/>
              </w:rPr>
              <w:t>carboplatine</w:t>
            </w:r>
            <w:proofErr w:type="spellEnd"/>
            <w:r w:rsidR="008B42EC" w:rsidRPr="008B42EC">
              <w:rPr>
                <w:rFonts w:ascii="Times New Roman" w:hAnsi="Times New Roman" w:cs="Times New Roman"/>
                <w:b/>
                <w:sz w:val="24"/>
                <w:szCs w:val="24"/>
              </w:rPr>
              <w:t xml:space="preserve"> et au </w:t>
            </w:r>
            <w:proofErr w:type="spellStart"/>
            <w:r w:rsidR="008B42EC" w:rsidRPr="004F52E2">
              <w:rPr>
                <w:rFonts w:ascii="Times New Roman" w:hAnsi="Times New Roman" w:cs="Times New Roman"/>
                <w:b/>
                <w:sz w:val="24"/>
                <w:szCs w:val="24"/>
                <w:u w:val="single"/>
              </w:rPr>
              <w:t>pemetrexed</w:t>
            </w:r>
            <w:proofErr w:type="spellEnd"/>
            <w:r w:rsidR="008B42EC" w:rsidRPr="008B42EC">
              <w:rPr>
                <w:rFonts w:ascii="Times New Roman" w:hAnsi="Times New Roman" w:cs="Times New Roman"/>
                <w:b/>
                <w:sz w:val="24"/>
                <w:szCs w:val="24"/>
              </w:rPr>
              <w:t xml:space="preserve"> </w:t>
            </w:r>
            <w:r w:rsidR="008B42EC">
              <w:rPr>
                <w:rFonts w:ascii="Times New Roman" w:hAnsi="Times New Roman" w:cs="Times New Roman"/>
                <w:b/>
                <w:sz w:val="24"/>
                <w:szCs w:val="24"/>
              </w:rPr>
              <w:t xml:space="preserve">(médicament B) </w:t>
            </w:r>
            <w:r w:rsidR="008B42EC" w:rsidRPr="008B42EC">
              <w:rPr>
                <w:rFonts w:ascii="Times New Roman" w:hAnsi="Times New Roman" w:cs="Times New Roman"/>
                <w:b/>
                <w:sz w:val="24"/>
                <w:szCs w:val="24"/>
              </w:rPr>
              <w:t>en première ligne de traitement des patients adultes atteints d’un cancer bronchique non à petites cellules (CBNPC) avancé avec mutations activatrices du récepteur du facteur de croissance épidermique (EGFR) par insertion dans l’exon 20, pour les patients non opérables</w:t>
            </w:r>
          </w:p>
        </w:tc>
        <w:tc>
          <w:tcPr>
            <w:tcW w:w="9075" w:type="dxa"/>
            <w:tcBorders>
              <w:right w:val="single" w:sz="12" w:space="0" w:color="auto"/>
            </w:tcBorders>
          </w:tcPr>
          <w:p w14:paraId="69B8D344" w14:textId="72E349EE" w:rsidR="008B42EC" w:rsidRDefault="00F25CEF" w:rsidP="00F25CEF">
            <w:pPr>
              <w:jc w:val="both"/>
              <w:rPr>
                <w:rFonts w:ascii="Times New Roman" w:hAnsi="Times New Roman" w:cs="Times New Roman"/>
                <w:sz w:val="24"/>
                <w:szCs w:val="24"/>
              </w:rPr>
            </w:pPr>
            <w:r w:rsidRPr="00F25CEF">
              <w:rPr>
                <w:rFonts w:ascii="Times New Roman" w:hAnsi="Times New Roman" w:cs="Times New Roman"/>
                <w:sz w:val="24"/>
                <w:szCs w:val="24"/>
              </w:rPr>
              <w:lastRenderedPageBreak/>
              <w:t xml:space="preserve">S'agissant des modalités de codage des médicaments bénéficiant d'une "AMM </w:t>
            </w:r>
            <w:r w:rsidR="004206D7" w:rsidRPr="00F25CEF">
              <w:rPr>
                <w:rFonts w:ascii="Times New Roman" w:hAnsi="Times New Roman" w:cs="Times New Roman"/>
                <w:sz w:val="24"/>
                <w:szCs w:val="24"/>
              </w:rPr>
              <w:t>miroir</w:t>
            </w:r>
            <w:r w:rsidRPr="00F25CEF">
              <w:rPr>
                <w:rFonts w:ascii="Times New Roman" w:hAnsi="Times New Roman" w:cs="Times New Roman"/>
                <w:sz w:val="24"/>
                <w:szCs w:val="24"/>
              </w:rPr>
              <w:t>" ou indiqué "en association",</w:t>
            </w:r>
            <w:r w:rsidR="008B42EC">
              <w:rPr>
                <w:rFonts w:ascii="Times New Roman" w:hAnsi="Times New Roman" w:cs="Times New Roman"/>
                <w:sz w:val="24"/>
                <w:szCs w:val="24"/>
              </w:rPr>
              <w:t xml:space="preserve"> se référer à</w:t>
            </w:r>
            <w:r w:rsidRPr="00F25CEF">
              <w:rPr>
                <w:rFonts w:ascii="Times New Roman" w:hAnsi="Times New Roman" w:cs="Times New Roman"/>
                <w:sz w:val="24"/>
                <w:szCs w:val="24"/>
              </w:rPr>
              <w:t xml:space="preserve"> </w:t>
            </w:r>
            <w:r w:rsidR="008B42EC">
              <w:rPr>
                <w:rFonts w:ascii="Times New Roman" w:hAnsi="Times New Roman" w:cs="Times New Roman"/>
                <w:sz w:val="24"/>
                <w:szCs w:val="24"/>
              </w:rPr>
              <w:t xml:space="preserve">la </w:t>
            </w:r>
            <w:r w:rsidR="008B42EC" w:rsidRPr="008B42EC">
              <w:rPr>
                <w:rFonts w:ascii="Times New Roman" w:hAnsi="Times New Roman" w:cs="Times New Roman"/>
                <w:sz w:val="24"/>
                <w:szCs w:val="24"/>
              </w:rPr>
              <w:t>note d’information interministérielle relative à la codification des indications de médicaments pris en charge au titre de l’article L. 162-18-1</w:t>
            </w:r>
            <w:r w:rsidR="008B42EC">
              <w:rPr>
                <w:rFonts w:ascii="Times New Roman" w:hAnsi="Times New Roman" w:cs="Times New Roman"/>
                <w:sz w:val="24"/>
                <w:szCs w:val="24"/>
              </w:rPr>
              <w:t xml:space="preserve"> publiée au Bulletin Officiel du 14 aout 2024. </w:t>
            </w:r>
          </w:p>
          <w:p w14:paraId="2B4ACBC6" w14:textId="77777777" w:rsidR="008B42EC" w:rsidRDefault="008B42EC" w:rsidP="00F25CEF">
            <w:pPr>
              <w:jc w:val="both"/>
              <w:rPr>
                <w:rFonts w:ascii="Times New Roman" w:hAnsi="Times New Roman" w:cs="Times New Roman"/>
                <w:sz w:val="24"/>
                <w:szCs w:val="24"/>
              </w:rPr>
            </w:pPr>
          </w:p>
          <w:p w14:paraId="31EFC1BB" w14:textId="31203743" w:rsidR="00F25CEF" w:rsidRPr="00F25CEF" w:rsidRDefault="008B42EC" w:rsidP="00F25CEF">
            <w:pPr>
              <w:jc w:val="both"/>
              <w:rPr>
                <w:rFonts w:ascii="Times New Roman" w:hAnsi="Times New Roman" w:cs="Times New Roman"/>
                <w:sz w:val="24"/>
                <w:szCs w:val="24"/>
              </w:rPr>
            </w:pPr>
            <w:r>
              <w:rPr>
                <w:rFonts w:ascii="Times New Roman" w:hAnsi="Times New Roman" w:cs="Times New Roman"/>
                <w:sz w:val="24"/>
                <w:szCs w:val="24"/>
              </w:rPr>
              <w:t>I</w:t>
            </w:r>
            <w:r w:rsidR="00F25CEF" w:rsidRPr="00F25CEF">
              <w:rPr>
                <w:rFonts w:ascii="Times New Roman" w:hAnsi="Times New Roman" w:cs="Times New Roman"/>
                <w:sz w:val="24"/>
                <w:szCs w:val="24"/>
              </w:rPr>
              <w:t>l convient de procéder au cas par cas :</w:t>
            </w:r>
          </w:p>
          <w:p w14:paraId="55E7F2BB" w14:textId="77777777" w:rsidR="00F25CEF" w:rsidRPr="00F25CEF" w:rsidRDefault="00F25CEF" w:rsidP="00F25CEF">
            <w:pPr>
              <w:jc w:val="both"/>
              <w:rPr>
                <w:rFonts w:ascii="Times New Roman" w:hAnsi="Times New Roman" w:cs="Times New Roman"/>
                <w:sz w:val="24"/>
                <w:szCs w:val="24"/>
              </w:rPr>
            </w:pPr>
          </w:p>
          <w:p w14:paraId="3E57DAEE" w14:textId="77777777" w:rsidR="00F25CEF" w:rsidRPr="0058046E" w:rsidRDefault="00F25CEF" w:rsidP="00F25CEF">
            <w:pPr>
              <w:jc w:val="both"/>
              <w:rPr>
                <w:rFonts w:ascii="Times New Roman" w:hAnsi="Times New Roman" w:cs="Times New Roman"/>
                <w:b/>
                <w:sz w:val="24"/>
                <w:szCs w:val="24"/>
              </w:rPr>
            </w:pPr>
            <w:r w:rsidRPr="0058046E">
              <w:rPr>
                <w:rFonts w:ascii="Times New Roman" w:hAnsi="Times New Roman" w:cs="Times New Roman"/>
                <w:b/>
                <w:sz w:val="24"/>
                <w:szCs w:val="24"/>
              </w:rPr>
              <w:t>Lorsque médicament "A" en association avec "B":</w:t>
            </w:r>
          </w:p>
          <w:p w14:paraId="4B76C4FC" w14:textId="77777777" w:rsidR="00F25CEF" w:rsidRPr="00F25CEF" w:rsidRDefault="00F25CEF" w:rsidP="00F25CEF">
            <w:pPr>
              <w:jc w:val="both"/>
              <w:rPr>
                <w:rFonts w:ascii="Times New Roman" w:hAnsi="Times New Roman" w:cs="Times New Roman"/>
                <w:sz w:val="24"/>
                <w:szCs w:val="24"/>
              </w:rPr>
            </w:pPr>
          </w:p>
          <w:p w14:paraId="266FE04C" w14:textId="77777777" w:rsidR="00F25CEF" w:rsidRPr="00F25CEF" w:rsidRDefault="00F25CEF" w:rsidP="00F25CEF">
            <w:pPr>
              <w:jc w:val="both"/>
              <w:rPr>
                <w:rFonts w:ascii="Times New Roman" w:hAnsi="Times New Roman" w:cs="Times New Roman"/>
                <w:b/>
                <w:sz w:val="24"/>
                <w:szCs w:val="24"/>
                <w:u w:val="single"/>
              </w:rPr>
            </w:pPr>
            <w:r w:rsidRPr="00F25CEF">
              <w:rPr>
                <w:rFonts w:ascii="Times New Roman" w:hAnsi="Times New Roman" w:cs="Times New Roman"/>
                <w:b/>
                <w:sz w:val="24"/>
                <w:szCs w:val="24"/>
                <w:u w:val="single"/>
              </w:rPr>
              <w:t xml:space="preserve">- Cas n°1: </w:t>
            </w:r>
          </w:p>
          <w:p w14:paraId="2CFC9AE7" w14:textId="77777777" w:rsidR="00F25CEF" w:rsidRPr="00F25CEF" w:rsidRDefault="00F25CEF" w:rsidP="00F25CEF">
            <w:pPr>
              <w:jc w:val="both"/>
              <w:rPr>
                <w:rFonts w:ascii="Times New Roman" w:hAnsi="Times New Roman" w:cs="Times New Roman"/>
                <w:sz w:val="24"/>
                <w:szCs w:val="24"/>
              </w:rPr>
            </w:pPr>
          </w:p>
          <w:p w14:paraId="71CF5AD8" w14:textId="77777777" w:rsidR="00F25CEF" w:rsidRPr="00F25CEF" w:rsidRDefault="00F25CEF" w:rsidP="00F25CEF">
            <w:pPr>
              <w:jc w:val="both"/>
              <w:rPr>
                <w:rFonts w:ascii="Times New Roman" w:hAnsi="Times New Roman" w:cs="Times New Roman"/>
                <w:sz w:val="24"/>
                <w:szCs w:val="24"/>
              </w:rPr>
            </w:pPr>
            <w:r w:rsidRPr="00F25CEF">
              <w:rPr>
                <w:rFonts w:ascii="Times New Roman" w:hAnsi="Times New Roman" w:cs="Times New Roman"/>
                <w:sz w:val="24"/>
                <w:szCs w:val="24"/>
              </w:rPr>
              <w:t>SI "A" = Indication PEC LES</w:t>
            </w:r>
          </w:p>
          <w:p w14:paraId="3ADD02E3" w14:textId="77777777" w:rsidR="00F25CEF" w:rsidRPr="00F25CEF" w:rsidRDefault="00F25CEF" w:rsidP="00F25CEF">
            <w:pPr>
              <w:jc w:val="both"/>
              <w:rPr>
                <w:rFonts w:ascii="Times New Roman" w:hAnsi="Times New Roman" w:cs="Times New Roman"/>
                <w:sz w:val="24"/>
                <w:szCs w:val="24"/>
              </w:rPr>
            </w:pPr>
            <w:r w:rsidRPr="00F25CEF">
              <w:rPr>
                <w:rFonts w:ascii="Times New Roman" w:hAnsi="Times New Roman" w:cs="Times New Roman"/>
                <w:sz w:val="24"/>
                <w:szCs w:val="24"/>
              </w:rPr>
              <w:t>ET "B" = Indication PEC LES</w:t>
            </w:r>
          </w:p>
          <w:p w14:paraId="4BC48007" w14:textId="77777777" w:rsidR="00F25CEF" w:rsidRPr="00F25CEF" w:rsidRDefault="00F25CEF" w:rsidP="00F25CEF">
            <w:pPr>
              <w:jc w:val="both"/>
              <w:rPr>
                <w:rFonts w:ascii="Times New Roman" w:hAnsi="Times New Roman" w:cs="Times New Roman"/>
                <w:sz w:val="24"/>
                <w:szCs w:val="24"/>
              </w:rPr>
            </w:pPr>
          </w:p>
          <w:p w14:paraId="4C7063E9" w14:textId="77777777" w:rsidR="00F25CEF" w:rsidRPr="00F25CEF" w:rsidRDefault="00F25CEF" w:rsidP="00F25CEF">
            <w:pPr>
              <w:jc w:val="both"/>
              <w:rPr>
                <w:rFonts w:ascii="Times New Roman" w:hAnsi="Times New Roman" w:cs="Times New Roman"/>
                <w:sz w:val="24"/>
                <w:szCs w:val="24"/>
              </w:rPr>
            </w:pPr>
            <w:r w:rsidRPr="00F25CEF">
              <w:rPr>
                <w:rFonts w:ascii="Times New Roman" w:hAnsi="Times New Roman" w:cs="Times New Roman"/>
                <w:sz w:val="24"/>
                <w:szCs w:val="24"/>
              </w:rPr>
              <w:t>Règle de codage : Code indication LES "A" + code indication LES "B"</w:t>
            </w:r>
          </w:p>
          <w:p w14:paraId="0EB5B38B" w14:textId="77777777" w:rsidR="00F25CEF" w:rsidRPr="00F25CEF" w:rsidRDefault="00F25CEF" w:rsidP="00F25CEF">
            <w:pPr>
              <w:jc w:val="both"/>
              <w:rPr>
                <w:rFonts w:ascii="Times New Roman" w:hAnsi="Times New Roman" w:cs="Times New Roman"/>
                <w:sz w:val="24"/>
                <w:szCs w:val="24"/>
              </w:rPr>
            </w:pPr>
          </w:p>
          <w:p w14:paraId="6BB5A36D" w14:textId="77777777" w:rsidR="00F25CEF" w:rsidRPr="0058046E" w:rsidRDefault="00F25CEF" w:rsidP="00F25CEF">
            <w:pPr>
              <w:jc w:val="both"/>
              <w:rPr>
                <w:rFonts w:ascii="Times New Roman" w:hAnsi="Times New Roman" w:cs="Times New Roman"/>
                <w:b/>
                <w:sz w:val="24"/>
                <w:szCs w:val="24"/>
                <w:u w:val="single"/>
              </w:rPr>
            </w:pPr>
            <w:r w:rsidRPr="0058046E">
              <w:rPr>
                <w:rFonts w:ascii="Times New Roman" w:hAnsi="Times New Roman" w:cs="Times New Roman"/>
                <w:b/>
                <w:sz w:val="24"/>
                <w:szCs w:val="24"/>
                <w:u w:val="single"/>
              </w:rPr>
              <w:t xml:space="preserve">- Cas n°2: </w:t>
            </w:r>
          </w:p>
          <w:p w14:paraId="324B74D3" w14:textId="77777777" w:rsidR="00F25CEF" w:rsidRPr="00F25CEF" w:rsidRDefault="00F25CEF" w:rsidP="00F25CEF">
            <w:pPr>
              <w:jc w:val="both"/>
              <w:rPr>
                <w:rFonts w:ascii="Times New Roman" w:hAnsi="Times New Roman" w:cs="Times New Roman"/>
                <w:sz w:val="24"/>
                <w:szCs w:val="24"/>
              </w:rPr>
            </w:pPr>
          </w:p>
          <w:p w14:paraId="13CD8F9B" w14:textId="77777777" w:rsidR="00F25CEF" w:rsidRPr="00F25CEF" w:rsidRDefault="00F25CEF" w:rsidP="00F25CEF">
            <w:pPr>
              <w:jc w:val="both"/>
              <w:rPr>
                <w:rFonts w:ascii="Times New Roman" w:hAnsi="Times New Roman" w:cs="Times New Roman"/>
                <w:sz w:val="24"/>
                <w:szCs w:val="24"/>
              </w:rPr>
            </w:pPr>
            <w:r w:rsidRPr="00F25CEF">
              <w:rPr>
                <w:rFonts w:ascii="Times New Roman" w:hAnsi="Times New Roman" w:cs="Times New Roman"/>
                <w:sz w:val="24"/>
                <w:szCs w:val="24"/>
              </w:rPr>
              <w:t>SI "A" = Indication PEC LES</w:t>
            </w:r>
          </w:p>
          <w:p w14:paraId="500AF5B0" w14:textId="77777777" w:rsidR="00F25CEF" w:rsidRPr="00F25CEF" w:rsidRDefault="00F25CEF" w:rsidP="00F25CEF">
            <w:pPr>
              <w:jc w:val="both"/>
              <w:rPr>
                <w:rFonts w:ascii="Times New Roman" w:hAnsi="Times New Roman" w:cs="Times New Roman"/>
                <w:sz w:val="24"/>
                <w:szCs w:val="24"/>
              </w:rPr>
            </w:pPr>
            <w:r w:rsidRPr="00F25CEF">
              <w:rPr>
                <w:rFonts w:ascii="Times New Roman" w:hAnsi="Times New Roman" w:cs="Times New Roman"/>
                <w:sz w:val="24"/>
                <w:szCs w:val="24"/>
              </w:rPr>
              <w:t>ET "B" = Indication PEC intra-GHS</w:t>
            </w:r>
          </w:p>
          <w:p w14:paraId="4F804C9C" w14:textId="77777777" w:rsidR="00F25CEF" w:rsidRPr="00F25CEF" w:rsidRDefault="00F25CEF" w:rsidP="00F25CEF">
            <w:pPr>
              <w:jc w:val="both"/>
              <w:rPr>
                <w:rFonts w:ascii="Times New Roman" w:hAnsi="Times New Roman" w:cs="Times New Roman"/>
                <w:sz w:val="24"/>
                <w:szCs w:val="24"/>
              </w:rPr>
            </w:pPr>
          </w:p>
          <w:p w14:paraId="0807D730" w14:textId="77777777" w:rsidR="00F25CEF" w:rsidRPr="00F25CEF" w:rsidRDefault="00F25CEF" w:rsidP="00F25CEF">
            <w:pPr>
              <w:jc w:val="both"/>
              <w:rPr>
                <w:rFonts w:ascii="Times New Roman" w:hAnsi="Times New Roman" w:cs="Times New Roman"/>
                <w:sz w:val="24"/>
                <w:szCs w:val="24"/>
              </w:rPr>
            </w:pPr>
            <w:r w:rsidRPr="00F25CEF">
              <w:rPr>
                <w:rFonts w:ascii="Times New Roman" w:hAnsi="Times New Roman" w:cs="Times New Roman"/>
                <w:sz w:val="24"/>
                <w:szCs w:val="24"/>
              </w:rPr>
              <w:t>Règle de codage : Code indication LES "A" uniquement</w:t>
            </w:r>
          </w:p>
          <w:p w14:paraId="2FD71019" w14:textId="77777777" w:rsidR="00F25CEF" w:rsidRPr="00F25CEF" w:rsidRDefault="00F25CEF" w:rsidP="00F25CEF">
            <w:pPr>
              <w:jc w:val="both"/>
              <w:rPr>
                <w:rFonts w:ascii="Times New Roman" w:hAnsi="Times New Roman" w:cs="Times New Roman"/>
                <w:sz w:val="24"/>
                <w:szCs w:val="24"/>
              </w:rPr>
            </w:pPr>
          </w:p>
          <w:p w14:paraId="689169BE" w14:textId="77777777" w:rsidR="00F25CEF" w:rsidRPr="0058046E" w:rsidRDefault="00F25CEF" w:rsidP="00F25CEF">
            <w:pPr>
              <w:jc w:val="both"/>
              <w:rPr>
                <w:rFonts w:ascii="Times New Roman" w:hAnsi="Times New Roman" w:cs="Times New Roman"/>
                <w:b/>
                <w:sz w:val="24"/>
                <w:szCs w:val="24"/>
                <w:u w:val="single"/>
              </w:rPr>
            </w:pPr>
            <w:r w:rsidRPr="0058046E">
              <w:rPr>
                <w:rFonts w:ascii="Times New Roman" w:hAnsi="Times New Roman" w:cs="Times New Roman"/>
                <w:b/>
                <w:sz w:val="24"/>
                <w:szCs w:val="24"/>
                <w:u w:val="single"/>
              </w:rPr>
              <w:t xml:space="preserve">- Cas n°3: </w:t>
            </w:r>
          </w:p>
          <w:p w14:paraId="2D9295FC" w14:textId="77777777" w:rsidR="00F25CEF" w:rsidRPr="00F25CEF" w:rsidRDefault="00F25CEF" w:rsidP="00F25CEF">
            <w:pPr>
              <w:jc w:val="both"/>
              <w:rPr>
                <w:rFonts w:ascii="Times New Roman" w:hAnsi="Times New Roman" w:cs="Times New Roman"/>
                <w:sz w:val="24"/>
                <w:szCs w:val="24"/>
              </w:rPr>
            </w:pPr>
          </w:p>
          <w:p w14:paraId="6B90B6F7" w14:textId="77777777" w:rsidR="00F25CEF" w:rsidRPr="00F25CEF" w:rsidRDefault="00F25CEF" w:rsidP="00F25CEF">
            <w:pPr>
              <w:jc w:val="both"/>
              <w:rPr>
                <w:rFonts w:ascii="Times New Roman" w:hAnsi="Times New Roman" w:cs="Times New Roman"/>
                <w:sz w:val="24"/>
                <w:szCs w:val="24"/>
              </w:rPr>
            </w:pPr>
            <w:r w:rsidRPr="00F25CEF">
              <w:rPr>
                <w:rFonts w:ascii="Times New Roman" w:hAnsi="Times New Roman" w:cs="Times New Roman"/>
                <w:sz w:val="24"/>
                <w:szCs w:val="24"/>
              </w:rPr>
              <w:t>SI "A" = Indication PEC LES</w:t>
            </w:r>
          </w:p>
          <w:p w14:paraId="29C81A71" w14:textId="77777777" w:rsidR="00F25CEF" w:rsidRDefault="00F25CEF" w:rsidP="00F25CEF">
            <w:pPr>
              <w:jc w:val="both"/>
              <w:rPr>
                <w:rFonts w:ascii="Times New Roman" w:hAnsi="Times New Roman" w:cs="Times New Roman"/>
                <w:sz w:val="24"/>
                <w:szCs w:val="24"/>
              </w:rPr>
            </w:pPr>
            <w:r w:rsidRPr="00F25CEF">
              <w:rPr>
                <w:rFonts w:ascii="Times New Roman" w:hAnsi="Times New Roman" w:cs="Times New Roman"/>
                <w:sz w:val="24"/>
                <w:szCs w:val="24"/>
              </w:rPr>
              <w:t>ET "B" = Médicament PEC LES (pour au moins une indication) mais pas d'AMM dans l'indication A</w:t>
            </w:r>
          </w:p>
          <w:p w14:paraId="7CAB2C80" w14:textId="77777777" w:rsidR="005A552C" w:rsidRDefault="005A552C" w:rsidP="00F25CEF">
            <w:pPr>
              <w:jc w:val="both"/>
              <w:rPr>
                <w:rFonts w:ascii="Times New Roman" w:hAnsi="Times New Roman" w:cs="Times New Roman"/>
                <w:sz w:val="24"/>
                <w:szCs w:val="24"/>
              </w:rPr>
            </w:pPr>
          </w:p>
          <w:p w14:paraId="4DD72754" w14:textId="3BF4C840" w:rsidR="005A552C" w:rsidRPr="00F25CEF" w:rsidRDefault="005A552C" w:rsidP="00F25CEF">
            <w:pPr>
              <w:jc w:val="both"/>
              <w:rPr>
                <w:rFonts w:ascii="Times New Roman" w:hAnsi="Times New Roman" w:cs="Times New Roman"/>
                <w:sz w:val="24"/>
                <w:szCs w:val="24"/>
              </w:rPr>
            </w:pPr>
            <w:r w:rsidRPr="005A552C">
              <w:rPr>
                <w:rFonts w:ascii="Times New Roman" w:hAnsi="Times New Roman" w:cs="Times New Roman"/>
                <w:sz w:val="24"/>
                <w:szCs w:val="24"/>
              </w:rPr>
              <w:lastRenderedPageBreak/>
              <w:t>Règle de codage : Code indication LES « A ». Pour « B », règles de codage relatives au</w:t>
            </w:r>
            <w:r w:rsidR="004556A3">
              <w:rPr>
                <w:rFonts w:ascii="Times New Roman" w:hAnsi="Times New Roman" w:cs="Times New Roman"/>
                <w:sz w:val="24"/>
                <w:szCs w:val="24"/>
              </w:rPr>
              <w:t>x</w:t>
            </w:r>
            <w:r w:rsidRPr="005A552C">
              <w:rPr>
                <w:rFonts w:ascii="Times New Roman" w:hAnsi="Times New Roman" w:cs="Times New Roman"/>
                <w:sz w:val="24"/>
                <w:szCs w:val="24"/>
              </w:rPr>
              <w:t xml:space="preserve"> « AMM </w:t>
            </w:r>
            <w:r w:rsidR="004556A3">
              <w:rPr>
                <w:rFonts w:ascii="Times New Roman" w:hAnsi="Times New Roman" w:cs="Times New Roman"/>
                <w:sz w:val="24"/>
                <w:szCs w:val="24"/>
              </w:rPr>
              <w:t xml:space="preserve">miroir </w:t>
            </w:r>
            <w:r w:rsidRPr="005A552C">
              <w:rPr>
                <w:rFonts w:ascii="Times New Roman" w:hAnsi="Times New Roman" w:cs="Times New Roman"/>
                <w:sz w:val="24"/>
                <w:szCs w:val="24"/>
              </w:rPr>
              <w:t>»</w:t>
            </w:r>
            <w:r w:rsidR="004556A3">
              <w:rPr>
                <w:rFonts w:ascii="Times New Roman" w:hAnsi="Times New Roman" w:cs="Times New Roman"/>
                <w:sz w:val="24"/>
                <w:szCs w:val="24"/>
              </w:rPr>
              <w:t xml:space="preserve"> (code I999997)</w:t>
            </w:r>
            <w:r w:rsidRPr="005A552C">
              <w:rPr>
                <w:rFonts w:ascii="Times New Roman" w:hAnsi="Times New Roman" w:cs="Times New Roman"/>
                <w:sz w:val="24"/>
                <w:szCs w:val="24"/>
              </w:rPr>
              <w:t>.</w:t>
            </w:r>
          </w:p>
          <w:p w14:paraId="520CB308" w14:textId="77777777" w:rsidR="00F25CEF" w:rsidRPr="00F25CEF" w:rsidRDefault="00F25CEF" w:rsidP="00F25CEF">
            <w:pPr>
              <w:jc w:val="both"/>
              <w:rPr>
                <w:rFonts w:ascii="Times New Roman" w:hAnsi="Times New Roman" w:cs="Times New Roman"/>
                <w:sz w:val="24"/>
                <w:szCs w:val="24"/>
              </w:rPr>
            </w:pPr>
          </w:p>
          <w:p w14:paraId="4C3D1ADD" w14:textId="77777777" w:rsidR="00F25CEF" w:rsidRPr="0058046E" w:rsidRDefault="00F25CEF" w:rsidP="00F25CEF">
            <w:pPr>
              <w:jc w:val="both"/>
              <w:rPr>
                <w:rFonts w:ascii="Times New Roman" w:hAnsi="Times New Roman" w:cs="Times New Roman"/>
                <w:b/>
                <w:sz w:val="24"/>
                <w:szCs w:val="24"/>
                <w:u w:val="single"/>
              </w:rPr>
            </w:pPr>
            <w:r w:rsidRPr="0058046E">
              <w:rPr>
                <w:rFonts w:ascii="Times New Roman" w:hAnsi="Times New Roman" w:cs="Times New Roman"/>
                <w:b/>
                <w:sz w:val="24"/>
                <w:szCs w:val="24"/>
                <w:u w:val="single"/>
              </w:rPr>
              <w:t xml:space="preserve">- Cas n°4: </w:t>
            </w:r>
          </w:p>
          <w:p w14:paraId="5F3C6BC5" w14:textId="77777777" w:rsidR="00F25CEF" w:rsidRPr="00F25CEF" w:rsidRDefault="00F25CEF" w:rsidP="00F25CEF">
            <w:pPr>
              <w:jc w:val="both"/>
              <w:rPr>
                <w:rFonts w:ascii="Times New Roman" w:hAnsi="Times New Roman" w:cs="Times New Roman"/>
                <w:sz w:val="24"/>
                <w:szCs w:val="24"/>
              </w:rPr>
            </w:pPr>
          </w:p>
          <w:p w14:paraId="2BFF5C74" w14:textId="77777777" w:rsidR="00F25CEF" w:rsidRPr="00F25CEF" w:rsidRDefault="00F25CEF" w:rsidP="00F25CEF">
            <w:pPr>
              <w:jc w:val="both"/>
              <w:rPr>
                <w:rFonts w:ascii="Times New Roman" w:hAnsi="Times New Roman" w:cs="Times New Roman"/>
                <w:sz w:val="24"/>
                <w:szCs w:val="24"/>
              </w:rPr>
            </w:pPr>
            <w:r w:rsidRPr="00F25CEF">
              <w:rPr>
                <w:rFonts w:ascii="Times New Roman" w:hAnsi="Times New Roman" w:cs="Times New Roman"/>
                <w:sz w:val="24"/>
                <w:szCs w:val="24"/>
              </w:rPr>
              <w:t>SI "A" = Indication PEC LES</w:t>
            </w:r>
          </w:p>
          <w:p w14:paraId="7E8A9997" w14:textId="77777777" w:rsidR="00F25CEF" w:rsidRPr="00F25CEF" w:rsidRDefault="00F25CEF" w:rsidP="00F25CEF">
            <w:pPr>
              <w:jc w:val="both"/>
              <w:rPr>
                <w:rFonts w:ascii="Times New Roman" w:hAnsi="Times New Roman" w:cs="Times New Roman"/>
                <w:sz w:val="24"/>
                <w:szCs w:val="24"/>
              </w:rPr>
            </w:pPr>
            <w:r w:rsidRPr="00F25CEF">
              <w:rPr>
                <w:rFonts w:ascii="Times New Roman" w:hAnsi="Times New Roman" w:cs="Times New Roman"/>
                <w:sz w:val="24"/>
                <w:szCs w:val="24"/>
              </w:rPr>
              <w:t>ET "B" = Médicament PEC intra-GHS mais pas d'AMM dans l'indication A</w:t>
            </w:r>
          </w:p>
          <w:p w14:paraId="263332B0" w14:textId="77777777" w:rsidR="00F25CEF" w:rsidRPr="00F25CEF" w:rsidRDefault="00F25CEF" w:rsidP="00F25CEF">
            <w:pPr>
              <w:jc w:val="both"/>
              <w:rPr>
                <w:rFonts w:ascii="Times New Roman" w:hAnsi="Times New Roman" w:cs="Times New Roman"/>
                <w:sz w:val="24"/>
                <w:szCs w:val="24"/>
              </w:rPr>
            </w:pPr>
          </w:p>
          <w:p w14:paraId="152C5518" w14:textId="77777777" w:rsidR="00F25CEF" w:rsidRPr="00F25CEF" w:rsidRDefault="00F25CEF" w:rsidP="00F25CEF">
            <w:pPr>
              <w:jc w:val="both"/>
              <w:rPr>
                <w:rFonts w:ascii="Times New Roman" w:hAnsi="Times New Roman" w:cs="Times New Roman"/>
                <w:sz w:val="24"/>
                <w:szCs w:val="24"/>
              </w:rPr>
            </w:pPr>
            <w:r w:rsidRPr="00F25CEF">
              <w:rPr>
                <w:rFonts w:ascii="Times New Roman" w:hAnsi="Times New Roman" w:cs="Times New Roman"/>
                <w:sz w:val="24"/>
                <w:szCs w:val="24"/>
              </w:rPr>
              <w:t>Règle de codage : Code indication LES "A" uniquement</w:t>
            </w:r>
          </w:p>
          <w:p w14:paraId="60C93450" w14:textId="77777777" w:rsidR="00F25CEF" w:rsidRPr="00F25CEF" w:rsidRDefault="00F25CEF" w:rsidP="00F25CEF">
            <w:pPr>
              <w:jc w:val="both"/>
              <w:rPr>
                <w:rFonts w:ascii="Times New Roman" w:hAnsi="Times New Roman" w:cs="Times New Roman"/>
                <w:sz w:val="24"/>
                <w:szCs w:val="24"/>
              </w:rPr>
            </w:pPr>
          </w:p>
          <w:p w14:paraId="21E8BC8D" w14:textId="77777777" w:rsidR="00F25CEF" w:rsidRPr="0058046E" w:rsidRDefault="00F25CEF" w:rsidP="00F25CEF">
            <w:pPr>
              <w:jc w:val="both"/>
              <w:rPr>
                <w:rFonts w:ascii="Times New Roman" w:hAnsi="Times New Roman" w:cs="Times New Roman"/>
                <w:b/>
                <w:sz w:val="24"/>
                <w:szCs w:val="24"/>
                <w:u w:val="single"/>
              </w:rPr>
            </w:pPr>
            <w:r w:rsidRPr="0058046E">
              <w:rPr>
                <w:rFonts w:ascii="Times New Roman" w:hAnsi="Times New Roman" w:cs="Times New Roman"/>
                <w:b/>
                <w:sz w:val="24"/>
                <w:szCs w:val="24"/>
                <w:u w:val="single"/>
              </w:rPr>
              <w:t xml:space="preserve">- Cas n°5: </w:t>
            </w:r>
          </w:p>
          <w:p w14:paraId="78963EBE" w14:textId="77777777" w:rsidR="00F25CEF" w:rsidRPr="00F25CEF" w:rsidRDefault="00F25CEF" w:rsidP="00F25CEF">
            <w:pPr>
              <w:jc w:val="both"/>
              <w:rPr>
                <w:rFonts w:ascii="Times New Roman" w:hAnsi="Times New Roman" w:cs="Times New Roman"/>
                <w:sz w:val="24"/>
                <w:szCs w:val="24"/>
              </w:rPr>
            </w:pPr>
          </w:p>
          <w:p w14:paraId="36F1F0D7" w14:textId="77777777" w:rsidR="00F25CEF" w:rsidRPr="00F25CEF" w:rsidRDefault="00F25CEF" w:rsidP="00F25CEF">
            <w:pPr>
              <w:jc w:val="both"/>
              <w:rPr>
                <w:rFonts w:ascii="Times New Roman" w:hAnsi="Times New Roman" w:cs="Times New Roman"/>
                <w:sz w:val="24"/>
                <w:szCs w:val="24"/>
              </w:rPr>
            </w:pPr>
            <w:r w:rsidRPr="00F25CEF">
              <w:rPr>
                <w:rFonts w:ascii="Times New Roman" w:hAnsi="Times New Roman" w:cs="Times New Roman"/>
                <w:sz w:val="24"/>
                <w:szCs w:val="24"/>
              </w:rPr>
              <w:t>SI "A" = Indication PEC LES</w:t>
            </w:r>
          </w:p>
          <w:p w14:paraId="7AB13EA5" w14:textId="570A933A" w:rsidR="00F25CEF" w:rsidRPr="005A552C" w:rsidRDefault="00F25CEF" w:rsidP="00F25CEF">
            <w:pPr>
              <w:jc w:val="both"/>
              <w:rPr>
                <w:rFonts w:ascii="Times New Roman" w:hAnsi="Times New Roman" w:cs="Times New Roman"/>
                <w:sz w:val="24"/>
                <w:szCs w:val="24"/>
              </w:rPr>
            </w:pPr>
            <w:r w:rsidRPr="00F25CEF">
              <w:rPr>
                <w:rFonts w:ascii="Times New Roman" w:hAnsi="Times New Roman" w:cs="Times New Roman"/>
                <w:sz w:val="24"/>
                <w:szCs w:val="24"/>
              </w:rPr>
              <w:t xml:space="preserve">ET "B" = </w:t>
            </w:r>
            <w:r w:rsidRPr="005A552C">
              <w:rPr>
                <w:rFonts w:ascii="Times New Roman" w:hAnsi="Times New Roman" w:cs="Times New Roman"/>
                <w:sz w:val="24"/>
                <w:szCs w:val="24"/>
              </w:rPr>
              <w:t xml:space="preserve">Indication PEC </w:t>
            </w:r>
            <w:r w:rsidR="00F94E60">
              <w:rPr>
                <w:rFonts w:ascii="Times New Roman" w:hAnsi="Times New Roman" w:cs="Times New Roman"/>
                <w:sz w:val="24"/>
                <w:szCs w:val="24"/>
              </w:rPr>
              <w:t>A</w:t>
            </w:r>
            <w:r w:rsidR="004C7C2C" w:rsidRPr="005A552C">
              <w:rPr>
                <w:rFonts w:ascii="Times New Roman" w:hAnsi="Times New Roman" w:cs="Times New Roman"/>
                <w:sz w:val="24"/>
                <w:szCs w:val="24"/>
              </w:rPr>
              <w:t xml:space="preserve">AP </w:t>
            </w:r>
            <w:r w:rsidRPr="005A552C">
              <w:rPr>
                <w:rFonts w:ascii="Times New Roman" w:hAnsi="Times New Roman" w:cs="Times New Roman"/>
                <w:sz w:val="24"/>
                <w:szCs w:val="24"/>
              </w:rPr>
              <w:t xml:space="preserve">ou </w:t>
            </w:r>
            <w:r w:rsidR="004C7C2C" w:rsidRPr="005A552C">
              <w:rPr>
                <w:rFonts w:ascii="Times New Roman" w:hAnsi="Times New Roman" w:cs="Times New Roman"/>
                <w:sz w:val="24"/>
                <w:szCs w:val="24"/>
              </w:rPr>
              <w:t>A</w:t>
            </w:r>
            <w:r w:rsidR="00F94E60">
              <w:rPr>
                <w:rFonts w:ascii="Times New Roman" w:hAnsi="Times New Roman" w:cs="Times New Roman"/>
                <w:sz w:val="24"/>
                <w:szCs w:val="24"/>
              </w:rPr>
              <w:t>AC</w:t>
            </w:r>
          </w:p>
          <w:p w14:paraId="7CBD3846" w14:textId="77777777" w:rsidR="00F25CEF" w:rsidRPr="005A552C" w:rsidRDefault="0058046E" w:rsidP="0058046E">
            <w:pPr>
              <w:tabs>
                <w:tab w:val="left" w:pos="1605"/>
              </w:tabs>
              <w:jc w:val="both"/>
              <w:rPr>
                <w:rFonts w:ascii="Times New Roman" w:hAnsi="Times New Roman" w:cs="Times New Roman"/>
                <w:sz w:val="24"/>
                <w:szCs w:val="24"/>
              </w:rPr>
            </w:pPr>
            <w:r w:rsidRPr="005A552C">
              <w:rPr>
                <w:rFonts w:ascii="Times New Roman" w:hAnsi="Times New Roman" w:cs="Times New Roman"/>
                <w:sz w:val="24"/>
                <w:szCs w:val="24"/>
              </w:rPr>
              <w:tab/>
            </w:r>
          </w:p>
          <w:p w14:paraId="0224CAD9" w14:textId="6B8B2CB0" w:rsidR="00F25CEF" w:rsidRPr="00F25CEF" w:rsidRDefault="00F25CEF" w:rsidP="00A8145F">
            <w:pPr>
              <w:rPr>
                <w:rFonts w:ascii="Times New Roman" w:hAnsi="Times New Roman" w:cs="Times New Roman"/>
                <w:sz w:val="24"/>
                <w:szCs w:val="24"/>
              </w:rPr>
            </w:pPr>
            <w:r w:rsidRPr="005A552C">
              <w:rPr>
                <w:rFonts w:ascii="Times New Roman" w:hAnsi="Times New Roman" w:cs="Times New Roman"/>
                <w:sz w:val="24"/>
                <w:szCs w:val="24"/>
              </w:rPr>
              <w:t xml:space="preserve">Règle de codage : </w:t>
            </w:r>
            <w:r w:rsidR="0058046E" w:rsidRPr="005A552C">
              <w:rPr>
                <w:rFonts w:ascii="Times New Roman" w:hAnsi="Times New Roman" w:cs="Times New Roman"/>
                <w:sz w:val="24"/>
                <w:szCs w:val="24"/>
              </w:rPr>
              <w:t xml:space="preserve">Code indication LES "A" + code indication </w:t>
            </w:r>
            <w:r w:rsidR="005A552C">
              <w:rPr>
                <w:rFonts w:ascii="Times New Roman" w:hAnsi="Times New Roman" w:cs="Times New Roman"/>
                <w:sz w:val="24"/>
                <w:szCs w:val="24"/>
              </w:rPr>
              <w:t>A</w:t>
            </w:r>
            <w:r w:rsidR="00F94E60">
              <w:rPr>
                <w:rFonts w:ascii="Times New Roman" w:hAnsi="Times New Roman" w:cs="Times New Roman"/>
                <w:sz w:val="24"/>
                <w:szCs w:val="24"/>
              </w:rPr>
              <w:t>AP ou AAC</w:t>
            </w:r>
            <w:r w:rsidR="0058046E" w:rsidRPr="0058046E">
              <w:rPr>
                <w:rFonts w:ascii="Times New Roman" w:hAnsi="Times New Roman" w:cs="Times New Roman"/>
                <w:sz w:val="24"/>
                <w:szCs w:val="24"/>
              </w:rPr>
              <w:t xml:space="preserve"> "B"</w:t>
            </w:r>
          </w:p>
          <w:p w14:paraId="58868C38" w14:textId="77777777" w:rsidR="00F25CEF" w:rsidRPr="00F25CEF" w:rsidRDefault="00F25CEF" w:rsidP="00F25CEF">
            <w:pPr>
              <w:jc w:val="both"/>
              <w:rPr>
                <w:rFonts w:ascii="Times New Roman" w:hAnsi="Times New Roman" w:cs="Times New Roman"/>
                <w:sz w:val="24"/>
                <w:szCs w:val="24"/>
              </w:rPr>
            </w:pPr>
          </w:p>
          <w:p w14:paraId="3CBE32B0" w14:textId="77777777" w:rsidR="00F25CEF" w:rsidRPr="0058046E" w:rsidRDefault="00F25CEF" w:rsidP="00F25CEF">
            <w:pPr>
              <w:jc w:val="both"/>
              <w:rPr>
                <w:rFonts w:ascii="Times New Roman" w:hAnsi="Times New Roman" w:cs="Times New Roman"/>
                <w:b/>
                <w:sz w:val="24"/>
                <w:szCs w:val="24"/>
                <w:u w:val="single"/>
              </w:rPr>
            </w:pPr>
            <w:r w:rsidRPr="0058046E">
              <w:rPr>
                <w:rFonts w:ascii="Times New Roman" w:hAnsi="Times New Roman" w:cs="Times New Roman"/>
                <w:b/>
                <w:sz w:val="24"/>
                <w:szCs w:val="24"/>
                <w:u w:val="single"/>
              </w:rPr>
              <w:t xml:space="preserve">- Cas n°6: </w:t>
            </w:r>
          </w:p>
          <w:p w14:paraId="67AB5B75" w14:textId="77777777" w:rsidR="00F25CEF" w:rsidRPr="00F25CEF" w:rsidRDefault="00F25CEF" w:rsidP="00F25CEF">
            <w:pPr>
              <w:jc w:val="both"/>
              <w:rPr>
                <w:rFonts w:ascii="Times New Roman" w:hAnsi="Times New Roman" w:cs="Times New Roman"/>
                <w:sz w:val="24"/>
                <w:szCs w:val="24"/>
              </w:rPr>
            </w:pPr>
          </w:p>
          <w:p w14:paraId="33E08952" w14:textId="77777777" w:rsidR="00F25CEF" w:rsidRPr="00F25CEF" w:rsidRDefault="00F25CEF" w:rsidP="00F25CEF">
            <w:pPr>
              <w:jc w:val="both"/>
              <w:rPr>
                <w:rFonts w:ascii="Times New Roman" w:hAnsi="Times New Roman" w:cs="Times New Roman"/>
                <w:sz w:val="24"/>
                <w:szCs w:val="24"/>
              </w:rPr>
            </w:pPr>
            <w:r w:rsidRPr="00F25CEF">
              <w:rPr>
                <w:rFonts w:ascii="Times New Roman" w:hAnsi="Times New Roman" w:cs="Times New Roman"/>
                <w:sz w:val="24"/>
                <w:szCs w:val="24"/>
              </w:rPr>
              <w:t>SI "A" = Indication PEC intra-GHS</w:t>
            </w:r>
          </w:p>
          <w:p w14:paraId="4800E542" w14:textId="77777777" w:rsidR="00F25CEF" w:rsidRPr="00F25CEF" w:rsidRDefault="00F25CEF" w:rsidP="00F25CEF">
            <w:pPr>
              <w:jc w:val="both"/>
              <w:rPr>
                <w:rFonts w:ascii="Times New Roman" w:hAnsi="Times New Roman" w:cs="Times New Roman"/>
                <w:sz w:val="24"/>
                <w:szCs w:val="24"/>
              </w:rPr>
            </w:pPr>
            <w:r w:rsidRPr="00F25CEF">
              <w:rPr>
                <w:rFonts w:ascii="Times New Roman" w:hAnsi="Times New Roman" w:cs="Times New Roman"/>
                <w:sz w:val="24"/>
                <w:szCs w:val="24"/>
              </w:rPr>
              <w:t>ET "B" = Médicament PEC LES (pour au moins une indication) mais pas d'AMM dans l'indication A</w:t>
            </w:r>
          </w:p>
          <w:p w14:paraId="6567DFFA" w14:textId="77777777" w:rsidR="00F25CEF" w:rsidRPr="00F25CEF" w:rsidRDefault="00F25CEF" w:rsidP="00F25CEF">
            <w:pPr>
              <w:jc w:val="both"/>
              <w:rPr>
                <w:rFonts w:ascii="Times New Roman" w:hAnsi="Times New Roman" w:cs="Times New Roman"/>
                <w:sz w:val="24"/>
                <w:szCs w:val="24"/>
              </w:rPr>
            </w:pPr>
          </w:p>
          <w:p w14:paraId="5D087334" w14:textId="38B320F5" w:rsidR="00F25CEF" w:rsidRDefault="00F25CEF" w:rsidP="00F25CEF">
            <w:pPr>
              <w:jc w:val="both"/>
              <w:rPr>
                <w:rFonts w:ascii="Times New Roman" w:hAnsi="Times New Roman" w:cs="Times New Roman"/>
                <w:sz w:val="24"/>
                <w:szCs w:val="24"/>
              </w:rPr>
            </w:pPr>
            <w:r w:rsidRPr="00F25CEF">
              <w:rPr>
                <w:rFonts w:ascii="Times New Roman" w:hAnsi="Times New Roman" w:cs="Times New Roman"/>
                <w:sz w:val="24"/>
                <w:szCs w:val="24"/>
              </w:rPr>
              <w:t xml:space="preserve">Règle de </w:t>
            </w:r>
            <w:r w:rsidR="004206D7">
              <w:rPr>
                <w:rFonts w:ascii="Times New Roman" w:hAnsi="Times New Roman" w:cs="Times New Roman"/>
                <w:sz w:val="24"/>
                <w:szCs w:val="24"/>
              </w:rPr>
              <w:t xml:space="preserve">codage : </w:t>
            </w:r>
            <w:r w:rsidR="004556A3" w:rsidRPr="004556A3">
              <w:rPr>
                <w:rFonts w:ascii="Times New Roman" w:hAnsi="Times New Roman" w:cs="Times New Roman"/>
                <w:sz w:val="24"/>
                <w:szCs w:val="24"/>
              </w:rPr>
              <w:t>Code indication LES pour "B" uniquement, règles de codage relatives aux « AMM miroir » (code I999997).</w:t>
            </w:r>
          </w:p>
          <w:p w14:paraId="2838759F" w14:textId="77777777" w:rsidR="004206D7" w:rsidRPr="00F25CEF" w:rsidRDefault="004206D7" w:rsidP="00F25CEF">
            <w:pPr>
              <w:jc w:val="both"/>
              <w:rPr>
                <w:rFonts w:ascii="Times New Roman" w:hAnsi="Times New Roman" w:cs="Times New Roman"/>
                <w:sz w:val="24"/>
                <w:szCs w:val="24"/>
              </w:rPr>
            </w:pPr>
          </w:p>
          <w:p w14:paraId="1905258A" w14:textId="77777777" w:rsidR="00F25CEF" w:rsidRPr="0058046E" w:rsidRDefault="00F25CEF" w:rsidP="00F25CEF">
            <w:pPr>
              <w:jc w:val="both"/>
              <w:rPr>
                <w:rFonts w:ascii="Times New Roman" w:hAnsi="Times New Roman" w:cs="Times New Roman"/>
                <w:b/>
                <w:sz w:val="24"/>
                <w:szCs w:val="24"/>
                <w:u w:val="single"/>
              </w:rPr>
            </w:pPr>
            <w:r w:rsidRPr="0058046E">
              <w:rPr>
                <w:rFonts w:ascii="Times New Roman" w:hAnsi="Times New Roman" w:cs="Times New Roman"/>
                <w:b/>
                <w:sz w:val="24"/>
                <w:szCs w:val="24"/>
                <w:u w:val="single"/>
              </w:rPr>
              <w:t xml:space="preserve">- Cas n°7: </w:t>
            </w:r>
          </w:p>
          <w:p w14:paraId="757DCB43" w14:textId="77777777" w:rsidR="00F25CEF" w:rsidRPr="00F25CEF" w:rsidRDefault="00F25CEF" w:rsidP="00F25CEF">
            <w:pPr>
              <w:jc w:val="both"/>
              <w:rPr>
                <w:rFonts w:ascii="Times New Roman" w:hAnsi="Times New Roman" w:cs="Times New Roman"/>
                <w:sz w:val="24"/>
                <w:szCs w:val="24"/>
              </w:rPr>
            </w:pPr>
          </w:p>
          <w:p w14:paraId="75EBC904" w14:textId="6CE7F1AA" w:rsidR="00F25CEF" w:rsidRPr="00F25CEF" w:rsidRDefault="00F25CEF" w:rsidP="00F25CEF">
            <w:pPr>
              <w:jc w:val="both"/>
              <w:rPr>
                <w:rFonts w:ascii="Times New Roman" w:hAnsi="Times New Roman" w:cs="Times New Roman"/>
                <w:sz w:val="24"/>
                <w:szCs w:val="24"/>
              </w:rPr>
            </w:pPr>
            <w:r w:rsidRPr="00F25CEF">
              <w:rPr>
                <w:rFonts w:ascii="Times New Roman" w:hAnsi="Times New Roman" w:cs="Times New Roman"/>
                <w:sz w:val="24"/>
                <w:szCs w:val="24"/>
              </w:rPr>
              <w:t xml:space="preserve">SI "A" = Indication PEC </w:t>
            </w:r>
            <w:r w:rsidR="00F94E60">
              <w:rPr>
                <w:rFonts w:ascii="Times New Roman" w:hAnsi="Times New Roman" w:cs="Times New Roman"/>
                <w:sz w:val="24"/>
                <w:szCs w:val="24"/>
              </w:rPr>
              <w:t>AAP</w:t>
            </w:r>
          </w:p>
          <w:p w14:paraId="718B8C12" w14:textId="77777777" w:rsidR="00F25CEF" w:rsidRPr="00F25CEF" w:rsidRDefault="00F25CEF" w:rsidP="00F25CEF">
            <w:pPr>
              <w:jc w:val="both"/>
              <w:rPr>
                <w:rFonts w:ascii="Times New Roman" w:hAnsi="Times New Roman" w:cs="Times New Roman"/>
                <w:sz w:val="24"/>
                <w:szCs w:val="24"/>
              </w:rPr>
            </w:pPr>
            <w:r w:rsidRPr="00F25CEF">
              <w:rPr>
                <w:rFonts w:ascii="Times New Roman" w:hAnsi="Times New Roman" w:cs="Times New Roman"/>
                <w:sz w:val="24"/>
                <w:szCs w:val="24"/>
              </w:rPr>
              <w:t>ET "B" = Médicament PEC LES (pour au moins une indication) mais pas d'AMM dans l'indication A</w:t>
            </w:r>
          </w:p>
          <w:p w14:paraId="118984DB" w14:textId="77777777" w:rsidR="00F25CEF" w:rsidRPr="00F25CEF" w:rsidRDefault="00F25CEF" w:rsidP="00F25CEF">
            <w:pPr>
              <w:jc w:val="both"/>
              <w:rPr>
                <w:rFonts w:ascii="Times New Roman" w:hAnsi="Times New Roman" w:cs="Times New Roman"/>
                <w:sz w:val="24"/>
                <w:szCs w:val="24"/>
              </w:rPr>
            </w:pPr>
          </w:p>
          <w:p w14:paraId="63BA71D7" w14:textId="7A03A973" w:rsidR="00C706EE" w:rsidRDefault="00F25CEF" w:rsidP="00F25CEF">
            <w:pPr>
              <w:jc w:val="both"/>
              <w:rPr>
                <w:rFonts w:ascii="Times New Roman" w:hAnsi="Times New Roman" w:cs="Times New Roman"/>
                <w:sz w:val="24"/>
                <w:szCs w:val="24"/>
              </w:rPr>
            </w:pPr>
            <w:r w:rsidRPr="00F25CEF">
              <w:rPr>
                <w:rFonts w:ascii="Times New Roman" w:hAnsi="Times New Roman" w:cs="Times New Roman"/>
                <w:sz w:val="24"/>
                <w:szCs w:val="24"/>
              </w:rPr>
              <w:t xml:space="preserve">Règle de codage : </w:t>
            </w:r>
            <w:r w:rsidR="005A552C" w:rsidRPr="005A552C">
              <w:rPr>
                <w:rFonts w:ascii="Times New Roman" w:hAnsi="Times New Roman" w:cs="Times New Roman"/>
                <w:sz w:val="24"/>
                <w:szCs w:val="24"/>
              </w:rPr>
              <w:t xml:space="preserve">Code indication </w:t>
            </w:r>
            <w:r w:rsidR="00F94E60">
              <w:rPr>
                <w:rFonts w:ascii="Times New Roman" w:hAnsi="Times New Roman" w:cs="Times New Roman"/>
                <w:sz w:val="24"/>
                <w:szCs w:val="24"/>
              </w:rPr>
              <w:t>AAP</w:t>
            </w:r>
            <w:r w:rsidR="005A552C" w:rsidRPr="005A552C">
              <w:rPr>
                <w:rFonts w:ascii="Times New Roman" w:hAnsi="Times New Roman" w:cs="Times New Roman"/>
                <w:sz w:val="24"/>
                <w:szCs w:val="24"/>
              </w:rPr>
              <w:t xml:space="preserve"> "A" +</w:t>
            </w:r>
            <w:r w:rsidR="004556A3" w:rsidRPr="004556A3">
              <w:rPr>
                <w:rFonts w:ascii="Times New Roman" w:hAnsi="Times New Roman" w:cs="Times New Roman"/>
                <w:sz w:val="24"/>
                <w:szCs w:val="24"/>
              </w:rPr>
              <w:t xml:space="preserve"> règles de codage relatives aux « AMM miroir » (code I999997)</w:t>
            </w:r>
            <w:r w:rsidR="004556A3">
              <w:rPr>
                <w:rFonts w:ascii="Times New Roman" w:hAnsi="Times New Roman" w:cs="Times New Roman"/>
                <w:sz w:val="24"/>
                <w:szCs w:val="24"/>
              </w:rPr>
              <w:t xml:space="preserve"> </w:t>
            </w:r>
            <w:r w:rsidR="005A552C" w:rsidRPr="005A552C">
              <w:rPr>
                <w:rFonts w:ascii="Times New Roman" w:hAnsi="Times New Roman" w:cs="Times New Roman"/>
                <w:sz w:val="24"/>
                <w:szCs w:val="24"/>
              </w:rPr>
              <w:t>pour "B"</w:t>
            </w:r>
          </w:p>
          <w:p w14:paraId="28700CDB" w14:textId="77777777" w:rsidR="004F65C6" w:rsidRDefault="004F65C6" w:rsidP="00F25CEF">
            <w:pPr>
              <w:jc w:val="both"/>
              <w:rPr>
                <w:rFonts w:ascii="Times New Roman" w:hAnsi="Times New Roman" w:cs="Times New Roman"/>
                <w:sz w:val="24"/>
                <w:szCs w:val="24"/>
              </w:rPr>
            </w:pPr>
          </w:p>
          <w:p w14:paraId="063F981F" w14:textId="77777777" w:rsidR="00790846" w:rsidRDefault="00790846" w:rsidP="00F25CEF">
            <w:pPr>
              <w:jc w:val="both"/>
              <w:rPr>
                <w:rFonts w:ascii="Times New Roman" w:hAnsi="Times New Roman" w:cs="Times New Roman"/>
                <w:sz w:val="24"/>
                <w:szCs w:val="24"/>
              </w:rPr>
            </w:pPr>
          </w:p>
          <w:p w14:paraId="54B6D278" w14:textId="7AC5163D" w:rsidR="00790846" w:rsidRDefault="00790846" w:rsidP="00F25CEF">
            <w:pPr>
              <w:jc w:val="both"/>
              <w:rPr>
                <w:rFonts w:ascii="Times New Roman" w:hAnsi="Times New Roman" w:cs="Times New Roman"/>
                <w:sz w:val="24"/>
                <w:szCs w:val="24"/>
              </w:rPr>
            </w:pPr>
            <w:r w:rsidRPr="00790846">
              <w:rPr>
                <w:rFonts w:ascii="Times New Roman" w:hAnsi="Times New Roman" w:cs="Times New Roman"/>
                <w:sz w:val="24"/>
                <w:szCs w:val="24"/>
              </w:rPr>
              <w:t>Il convient de rappeler que pour une spécialité donnée, les indications prises en charge au titre des I et II de l’article R. 162-37-2 du code de la sécurité sociale (indications ayant un code indication spécifique au produit) sont exclues du périmètre des indications prises en charge au titre de l’article L. 162-18-1 du même code (dispositif AMM miroir, codé I999997). Ainsi, seules les indications ne faisant pas l’objet, pour une spécialité donnée, d’une prise en charge au titre des I et II de l’article R. 162-37-2 du code de la sécurité sociale peuvent être prise en charge au titre de l’article L. 162-18-1 du même code et être codées comme telles</w:t>
            </w:r>
          </w:p>
          <w:p w14:paraId="02AE2C5C" w14:textId="77777777" w:rsidR="0058046E" w:rsidRPr="00C706EE" w:rsidRDefault="0058046E" w:rsidP="00F25CEF">
            <w:pPr>
              <w:jc w:val="both"/>
              <w:rPr>
                <w:rFonts w:ascii="Times New Roman" w:hAnsi="Times New Roman" w:cs="Times New Roman"/>
                <w:sz w:val="24"/>
                <w:szCs w:val="24"/>
              </w:rPr>
            </w:pPr>
          </w:p>
        </w:tc>
      </w:tr>
      <w:tr w:rsidR="00C706EE" w14:paraId="78840BC7" w14:textId="77777777" w:rsidTr="00BC3E24">
        <w:tc>
          <w:tcPr>
            <w:tcW w:w="5579" w:type="dxa"/>
            <w:tcBorders>
              <w:left w:val="single" w:sz="12" w:space="0" w:color="auto"/>
            </w:tcBorders>
          </w:tcPr>
          <w:p w14:paraId="692D8D4F" w14:textId="170B8004" w:rsidR="00C706EE" w:rsidRDefault="00BC3E24" w:rsidP="00C706EE">
            <w:pPr>
              <w:jc w:val="both"/>
              <w:rPr>
                <w:rFonts w:ascii="Times New Roman" w:hAnsi="Times New Roman" w:cs="Times New Roman"/>
                <w:b/>
                <w:sz w:val="24"/>
                <w:szCs w:val="24"/>
              </w:rPr>
            </w:pPr>
            <w:r>
              <w:rPr>
                <w:rFonts w:ascii="Times New Roman" w:hAnsi="Times New Roman" w:cs="Times New Roman"/>
                <w:b/>
                <w:sz w:val="24"/>
                <w:szCs w:val="24"/>
              </w:rPr>
              <w:lastRenderedPageBreak/>
              <w:t>7</w:t>
            </w:r>
            <w:r w:rsidR="0058046E" w:rsidRPr="0058046E">
              <w:rPr>
                <w:rFonts w:ascii="Times New Roman" w:hAnsi="Times New Roman" w:cs="Times New Roman"/>
                <w:b/>
                <w:sz w:val="24"/>
                <w:szCs w:val="24"/>
              </w:rPr>
              <w:t>. Quels sont les médicaments et indications éligibles au code indication I999998 ?</w:t>
            </w:r>
          </w:p>
          <w:p w14:paraId="139311B4" w14:textId="77777777" w:rsidR="004206D7" w:rsidRDefault="004206D7" w:rsidP="00C706EE">
            <w:pPr>
              <w:jc w:val="both"/>
              <w:rPr>
                <w:rFonts w:ascii="Times New Roman" w:hAnsi="Times New Roman" w:cs="Times New Roman"/>
                <w:b/>
                <w:sz w:val="24"/>
                <w:szCs w:val="24"/>
              </w:rPr>
            </w:pPr>
          </w:p>
        </w:tc>
        <w:tc>
          <w:tcPr>
            <w:tcW w:w="9075" w:type="dxa"/>
            <w:tcBorders>
              <w:right w:val="single" w:sz="12" w:space="0" w:color="auto"/>
            </w:tcBorders>
          </w:tcPr>
          <w:p w14:paraId="0C1ADF7D" w14:textId="77777777" w:rsidR="00C706EE" w:rsidRDefault="005D52FC" w:rsidP="0058046E">
            <w:pPr>
              <w:jc w:val="both"/>
              <w:rPr>
                <w:rFonts w:ascii="Times New Roman" w:hAnsi="Times New Roman" w:cs="Times New Roman"/>
                <w:sz w:val="24"/>
                <w:szCs w:val="24"/>
              </w:rPr>
            </w:pPr>
            <w:r>
              <w:rPr>
                <w:rFonts w:ascii="Times New Roman" w:hAnsi="Times New Roman" w:cs="Times New Roman"/>
                <w:sz w:val="24"/>
                <w:szCs w:val="24"/>
              </w:rPr>
              <w:t xml:space="preserve">Les médicaments et indications éligibles au code indication I999998 sont les médicaments de la liste en sus ayant fait l’objet d’un arrêté pris en application de l’article L. 1121-16-1 du code de la santé publique : </w:t>
            </w:r>
          </w:p>
          <w:p w14:paraId="7DFC819E" w14:textId="77777777" w:rsidR="005D52FC" w:rsidRDefault="005D52FC" w:rsidP="0058046E">
            <w:pPr>
              <w:jc w:val="both"/>
              <w:rPr>
                <w:rFonts w:ascii="Times New Roman" w:hAnsi="Times New Roman" w:cs="Times New Roman"/>
                <w:sz w:val="24"/>
                <w:szCs w:val="24"/>
              </w:rPr>
            </w:pPr>
          </w:p>
          <w:p w14:paraId="5B0587FA" w14:textId="77777777" w:rsidR="005D52FC" w:rsidRDefault="005D52FC" w:rsidP="005D52FC">
            <w:pPr>
              <w:pStyle w:val="Paragraphedeliste"/>
              <w:numPr>
                <w:ilvl w:val="0"/>
                <w:numId w:val="7"/>
              </w:numPr>
              <w:jc w:val="both"/>
              <w:rPr>
                <w:rFonts w:ascii="Times New Roman" w:hAnsi="Times New Roman" w:cs="Times New Roman"/>
                <w:b/>
                <w:bCs/>
                <w:sz w:val="24"/>
                <w:szCs w:val="24"/>
              </w:rPr>
            </w:pPr>
            <w:r w:rsidRPr="005D52FC">
              <w:rPr>
                <w:rFonts w:ascii="Times New Roman" w:hAnsi="Times New Roman" w:cs="Times New Roman"/>
                <w:bCs/>
                <w:sz w:val="24"/>
                <w:szCs w:val="24"/>
              </w:rPr>
              <w:t xml:space="preserve">Arrêté du 20 août 2019 pris en application de l'article L. 1121-16-1 du code de la santé publique et portant prise en charge à titre dérogatoire du médicament </w:t>
            </w:r>
            <w:r w:rsidRPr="005D52FC">
              <w:rPr>
                <w:rFonts w:ascii="Times New Roman" w:hAnsi="Times New Roman" w:cs="Times New Roman"/>
                <w:b/>
                <w:bCs/>
                <w:sz w:val="24"/>
                <w:szCs w:val="24"/>
              </w:rPr>
              <w:t>R</w:t>
            </w:r>
            <w:r>
              <w:rPr>
                <w:rFonts w:ascii="Times New Roman" w:hAnsi="Times New Roman" w:cs="Times New Roman"/>
                <w:b/>
                <w:bCs/>
                <w:sz w:val="24"/>
                <w:szCs w:val="24"/>
              </w:rPr>
              <w:t>OACTEMRA</w:t>
            </w:r>
            <w:r w:rsidRPr="005D52FC">
              <w:rPr>
                <w:rFonts w:ascii="Times New Roman" w:hAnsi="Times New Roman" w:cs="Times New Roman"/>
                <w:b/>
                <w:bCs/>
                <w:sz w:val="24"/>
                <w:szCs w:val="24"/>
              </w:rPr>
              <w:t>® (tocilizumab)</w:t>
            </w:r>
            <w:r>
              <w:t xml:space="preserve"> </w:t>
            </w:r>
            <w:r w:rsidRPr="005D52FC">
              <w:rPr>
                <w:rFonts w:ascii="Times New Roman" w:hAnsi="Times New Roman" w:cs="Times New Roman"/>
                <w:b/>
                <w:bCs/>
                <w:sz w:val="24"/>
                <w:szCs w:val="24"/>
              </w:rPr>
              <w:t xml:space="preserve">faisant l'objet de la recherche « </w:t>
            </w:r>
            <w:proofErr w:type="spellStart"/>
            <w:r w:rsidRPr="005D52FC">
              <w:rPr>
                <w:rFonts w:ascii="Times New Roman" w:hAnsi="Times New Roman" w:cs="Times New Roman"/>
                <w:b/>
                <w:bCs/>
                <w:sz w:val="24"/>
                <w:szCs w:val="24"/>
              </w:rPr>
              <w:t>Metogia</w:t>
            </w:r>
            <w:proofErr w:type="spellEnd"/>
            <w:r w:rsidRPr="005D52FC">
              <w:rPr>
                <w:rFonts w:ascii="Times New Roman" w:hAnsi="Times New Roman" w:cs="Times New Roman"/>
                <w:b/>
                <w:bCs/>
                <w:sz w:val="24"/>
                <w:szCs w:val="24"/>
              </w:rPr>
              <w:t xml:space="preserve"> : méthotrexate versus tocilizumab pour le traitement de l'artérite à cellules géantes : étude multicentrique, randomisée, contrôlée »</w:t>
            </w:r>
            <w:r>
              <w:rPr>
                <w:rFonts w:ascii="Times New Roman" w:hAnsi="Times New Roman" w:cs="Times New Roman"/>
                <w:b/>
                <w:bCs/>
                <w:sz w:val="24"/>
                <w:szCs w:val="24"/>
              </w:rPr>
              <w:t> ;</w:t>
            </w:r>
          </w:p>
          <w:p w14:paraId="7E3E6C24" w14:textId="77777777" w:rsidR="005D52FC" w:rsidRPr="005D52FC" w:rsidRDefault="005D52FC" w:rsidP="005D52FC">
            <w:pPr>
              <w:pStyle w:val="Paragraphedeliste"/>
              <w:jc w:val="both"/>
              <w:rPr>
                <w:rFonts w:ascii="Times New Roman" w:hAnsi="Times New Roman" w:cs="Times New Roman"/>
                <w:b/>
                <w:bCs/>
                <w:sz w:val="24"/>
                <w:szCs w:val="24"/>
              </w:rPr>
            </w:pPr>
          </w:p>
          <w:p w14:paraId="3BC7979E" w14:textId="77777777" w:rsidR="005D52FC" w:rsidRPr="005D52FC" w:rsidRDefault="005D52FC" w:rsidP="005D52FC">
            <w:pPr>
              <w:pStyle w:val="Paragraphedeliste"/>
              <w:numPr>
                <w:ilvl w:val="0"/>
                <w:numId w:val="7"/>
              </w:numPr>
              <w:jc w:val="both"/>
              <w:rPr>
                <w:rFonts w:ascii="Times New Roman" w:hAnsi="Times New Roman" w:cs="Times New Roman"/>
                <w:sz w:val="24"/>
                <w:szCs w:val="24"/>
              </w:rPr>
            </w:pPr>
            <w:r w:rsidRPr="005D52FC">
              <w:rPr>
                <w:rFonts w:ascii="Times New Roman" w:hAnsi="Times New Roman" w:cs="Times New Roman"/>
                <w:sz w:val="24"/>
                <w:szCs w:val="24"/>
              </w:rPr>
              <w:t>Arrêté du 2 octobre 2018 pris en application de l'article L. 1121-16-1 du code de la santé publique et portant prise en charge à titre dérogatoire du médicament</w:t>
            </w:r>
            <w:r w:rsidRPr="005D52FC">
              <w:rPr>
                <w:rFonts w:ascii="Times New Roman" w:hAnsi="Times New Roman" w:cs="Times New Roman"/>
                <w:b/>
                <w:sz w:val="24"/>
                <w:szCs w:val="24"/>
              </w:rPr>
              <w:t xml:space="preserve"> </w:t>
            </w:r>
            <w:r>
              <w:rPr>
                <w:rFonts w:ascii="Times New Roman" w:hAnsi="Times New Roman" w:cs="Times New Roman"/>
                <w:b/>
                <w:sz w:val="24"/>
                <w:szCs w:val="24"/>
              </w:rPr>
              <w:t>VELCADE®</w:t>
            </w:r>
            <w:r w:rsidRPr="005D52FC">
              <w:rPr>
                <w:rFonts w:ascii="Times New Roman" w:hAnsi="Times New Roman" w:cs="Times New Roman"/>
                <w:b/>
                <w:sz w:val="24"/>
                <w:szCs w:val="24"/>
              </w:rPr>
              <w:t xml:space="preserve"> (</w:t>
            </w:r>
            <w:proofErr w:type="spellStart"/>
            <w:r w:rsidRPr="005D52FC">
              <w:rPr>
                <w:rFonts w:ascii="Times New Roman" w:hAnsi="Times New Roman" w:cs="Times New Roman"/>
                <w:b/>
                <w:sz w:val="24"/>
                <w:szCs w:val="24"/>
              </w:rPr>
              <w:t>bortezomib</w:t>
            </w:r>
            <w:proofErr w:type="spellEnd"/>
            <w:r w:rsidRPr="005D52FC">
              <w:rPr>
                <w:rFonts w:ascii="Times New Roman" w:hAnsi="Times New Roman" w:cs="Times New Roman"/>
                <w:b/>
                <w:sz w:val="24"/>
                <w:szCs w:val="24"/>
              </w:rPr>
              <w:t xml:space="preserve">) faisant l'objet de la recherche « </w:t>
            </w:r>
            <w:proofErr w:type="spellStart"/>
            <w:r w:rsidRPr="005D52FC">
              <w:rPr>
                <w:rFonts w:ascii="Times New Roman" w:hAnsi="Times New Roman" w:cs="Times New Roman"/>
                <w:b/>
                <w:sz w:val="24"/>
                <w:szCs w:val="24"/>
              </w:rPr>
              <w:t>IntReALL</w:t>
            </w:r>
            <w:proofErr w:type="spellEnd"/>
            <w:r w:rsidRPr="005D52FC">
              <w:rPr>
                <w:rFonts w:ascii="Times New Roman" w:hAnsi="Times New Roman" w:cs="Times New Roman"/>
                <w:b/>
                <w:sz w:val="24"/>
                <w:szCs w:val="24"/>
              </w:rPr>
              <w:t xml:space="preserve"> HR 2010 - Etude internationale pour le traitement des leucémies aiguës lymphoblastiques de l'enfant à haut risque »</w:t>
            </w:r>
            <w:r>
              <w:rPr>
                <w:rFonts w:ascii="Times New Roman" w:hAnsi="Times New Roman" w:cs="Times New Roman"/>
                <w:b/>
                <w:sz w:val="24"/>
                <w:szCs w:val="24"/>
              </w:rPr>
              <w:t> ;</w:t>
            </w:r>
          </w:p>
          <w:p w14:paraId="731049A8" w14:textId="77777777" w:rsidR="005D52FC" w:rsidRPr="005D52FC" w:rsidRDefault="005D52FC" w:rsidP="005D52FC">
            <w:pPr>
              <w:pStyle w:val="Paragraphedeliste"/>
              <w:rPr>
                <w:rFonts w:ascii="Times New Roman" w:hAnsi="Times New Roman" w:cs="Times New Roman"/>
                <w:sz w:val="24"/>
                <w:szCs w:val="24"/>
              </w:rPr>
            </w:pPr>
          </w:p>
          <w:p w14:paraId="52E6BA40" w14:textId="77777777" w:rsidR="005D52FC" w:rsidRPr="005D52FC" w:rsidRDefault="005D52FC" w:rsidP="005D52FC">
            <w:pPr>
              <w:pStyle w:val="Paragraphedeliste"/>
              <w:numPr>
                <w:ilvl w:val="0"/>
                <w:numId w:val="7"/>
              </w:numPr>
              <w:jc w:val="both"/>
              <w:rPr>
                <w:rFonts w:ascii="Times New Roman" w:hAnsi="Times New Roman" w:cs="Times New Roman"/>
                <w:sz w:val="24"/>
                <w:szCs w:val="24"/>
              </w:rPr>
            </w:pPr>
            <w:r w:rsidRPr="005D52FC">
              <w:rPr>
                <w:rFonts w:ascii="Times New Roman" w:hAnsi="Times New Roman" w:cs="Times New Roman"/>
                <w:bCs/>
                <w:sz w:val="24"/>
                <w:szCs w:val="24"/>
              </w:rPr>
              <w:t xml:space="preserve">Arrêté du 25 mai 2018 pris en application de l'article L. 1121-16-1 du code de la santé publique et portant prise en charge à titre dérogatoire des médicaments </w:t>
            </w:r>
            <w:r>
              <w:rPr>
                <w:rFonts w:ascii="Times New Roman" w:hAnsi="Times New Roman" w:cs="Times New Roman"/>
                <w:b/>
                <w:bCs/>
                <w:sz w:val="24"/>
                <w:szCs w:val="24"/>
              </w:rPr>
              <w:t>MABTHERA® (rituximab)</w:t>
            </w:r>
            <w:r w:rsidRPr="005D52FC">
              <w:rPr>
                <w:rFonts w:ascii="Times New Roman" w:hAnsi="Times New Roman" w:cs="Times New Roman"/>
                <w:b/>
                <w:bCs/>
                <w:sz w:val="24"/>
                <w:szCs w:val="24"/>
              </w:rPr>
              <w:t>, faisant l'objet de la recherche « Etude PROLONG : prolongation de la réponse thérapeutique par une faible dose de rituximab en traitement d'entretien dans le “purpura thrombopénique immunologique” (PTI) : étude randomisée, contrôlée versus placebo »</w:t>
            </w:r>
          </w:p>
        </w:tc>
      </w:tr>
      <w:tr w:rsidR="00C706EE" w14:paraId="152A5FEF" w14:textId="77777777" w:rsidTr="00BC3E24">
        <w:tc>
          <w:tcPr>
            <w:tcW w:w="5579" w:type="dxa"/>
            <w:tcBorders>
              <w:left w:val="single" w:sz="12" w:space="0" w:color="auto"/>
            </w:tcBorders>
          </w:tcPr>
          <w:p w14:paraId="7CC4CC06" w14:textId="028F923E" w:rsidR="00C706EE" w:rsidRDefault="00BC3E24" w:rsidP="0058046E">
            <w:pPr>
              <w:jc w:val="both"/>
              <w:rPr>
                <w:rFonts w:ascii="Times New Roman" w:hAnsi="Times New Roman" w:cs="Times New Roman"/>
                <w:b/>
                <w:sz w:val="24"/>
                <w:szCs w:val="24"/>
              </w:rPr>
            </w:pPr>
            <w:r>
              <w:rPr>
                <w:rFonts w:ascii="Times New Roman" w:hAnsi="Times New Roman" w:cs="Times New Roman"/>
                <w:b/>
                <w:sz w:val="24"/>
                <w:szCs w:val="24"/>
              </w:rPr>
              <w:t>8</w:t>
            </w:r>
            <w:r w:rsidR="0058046E" w:rsidRPr="0058046E">
              <w:rPr>
                <w:rFonts w:ascii="Times New Roman" w:hAnsi="Times New Roman" w:cs="Times New Roman"/>
                <w:b/>
                <w:sz w:val="24"/>
                <w:szCs w:val="24"/>
              </w:rPr>
              <w:t>. Modalités de codage des indications AMM non prises en charge en sus des GHS</w:t>
            </w:r>
            <w:r w:rsidR="006E5007">
              <w:rPr>
                <w:rFonts w:ascii="Times New Roman" w:hAnsi="Times New Roman" w:cs="Times New Roman"/>
                <w:b/>
                <w:sz w:val="24"/>
                <w:szCs w:val="24"/>
              </w:rPr>
              <w:t>/GMT</w:t>
            </w:r>
            <w:r w:rsidR="0058046E" w:rsidRPr="0058046E">
              <w:rPr>
                <w:rFonts w:ascii="Times New Roman" w:hAnsi="Times New Roman" w:cs="Times New Roman"/>
                <w:b/>
                <w:sz w:val="24"/>
                <w:szCs w:val="24"/>
              </w:rPr>
              <w:t xml:space="preserve"> et hors AMM </w:t>
            </w:r>
            <w:r w:rsidR="0058046E" w:rsidRPr="0058046E">
              <w:rPr>
                <w:rFonts w:ascii="Times New Roman" w:hAnsi="Times New Roman" w:cs="Times New Roman"/>
                <w:b/>
                <w:sz w:val="24"/>
                <w:szCs w:val="24"/>
              </w:rPr>
              <w:lastRenderedPageBreak/>
              <w:t>faisant</w:t>
            </w:r>
            <w:r w:rsidR="00D745C9">
              <w:rPr>
                <w:rFonts w:ascii="Times New Roman" w:hAnsi="Times New Roman" w:cs="Times New Roman"/>
                <w:b/>
                <w:sz w:val="24"/>
                <w:szCs w:val="24"/>
              </w:rPr>
              <w:t xml:space="preserve"> l’objet d’une hiérarchisation </w:t>
            </w:r>
            <w:r w:rsidR="0058046E" w:rsidRPr="0058046E">
              <w:rPr>
                <w:rFonts w:ascii="Times New Roman" w:hAnsi="Times New Roman" w:cs="Times New Roman"/>
                <w:b/>
                <w:sz w:val="24"/>
                <w:szCs w:val="24"/>
              </w:rPr>
              <w:t>des indications (immunoglobulines).</w:t>
            </w:r>
          </w:p>
          <w:p w14:paraId="24D3F067" w14:textId="77777777" w:rsidR="004206D7" w:rsidRDefault="004206D7" w:rsidP="0058046E">
            <w:pPr>
              <w:jc w:val="both"/>
              <w:rPr>
                <w:rFonts w:ascii="Times New Roman" w:hAnsi="Times New Roman" w:cs="Times New Roman"/>
                <w:b/>
                <w:sz w:val="24"/>
                <w:szCs w:val="24"/>
              </w:rPr>
            </w:pPr>
          </w:p>
        </w:tc>
        <w:tc>
          <w:tcPr>
            <w:tcW w:w="9075" w:type="dxa"/>
            <w:tcBorders>
              <w:right w:val="single" w:sz="12" w:space="0" w:color="auto"/>
            </w:tcBorders>
          </w:tcPr>
          <w:p w14:paraId="71BA5A62" w14:textId="77777777" w:rsidR="00C706EE" w:rsidRPr="00C706EE" w:rsidRDefault="0058046E" w:rsidP="00C706EE">
            <w:pPr>
              <w:jc w:val="both"/>
              <w:rPr>
                <w:rFonts w:ascii="Times New Roman" w:hAnsi="Times New Roman" w:cs="Times New Roman"/>
                <w:sz w:val="24"/>
                <w:szCs w:val="24"/>
              </w:rPr>
            </w:pPr>
            <w:r w:rsidRPr="0058046E">
              <w:rPr>
                <w:rFonts w:ascii="Times New Roman" w:hAnsi="Times New Roman" w:cs="Times New Roman"/>
                <w:sz w:val="24"/>
                <w:szCs w:val="24"/>
              </w:rPr>
              <w:lastRenderedPageBreak/>
              <w:t>Aucun codage</w:t>
            </w:r>
            <w:r w:rsidR="00DF0114">
              <w:rPr>
                <w:rFonts w:ascii="Times New Roman" w:hAnsi="Times New Roman" w:cs="Times New Roman"/>
                <w:sz w:val="24"/>
                <w:szCs w:val="24"/>
              </w:rPr>
              <w:t xml:space="preserve"> LES spécifique</w:t>
            </w:r>
            <w:r w:rsidRPr="0058046E">
              <w:rPr>
                <w:rFonts w:ascii="Times New Roman" w:hAnsi="Times New Roman" w:cs="Times New Roman"/>
                <w:sz w:val="24"/>
                <w:szCs w:val="24"/>
              </w:rPr>
              <w:t xml:space="preserve"> possible.</w:t>
            </w:r>
          </w:p>
        </w:tc>
      </w:tr>
      <w:tr w:rsidR="00C706EE" w14:paraId="46EBA222" w14:textId="77777777" w:rsidTr="00BC3E24">
        <w:tc>
          <w:tcPr>
            <w:tcW w:w="5579" w:type="dxa"/>
            <w:tcBorders>
              <w:left w:val="single" w:sz="12" w:space="0" w:color="auto"/>
            </w:tcBorders>
          </w:tcPr>
          <w:p w14:paraId="15AF10E5" w14:textId="27F22BEB" w:rsidR="00C706EE" w:rsidRDefault="00BC3E24" w:rsidP="00C706EE">
            <w:pPr>
              <w:jc w:val="both"/>
              <w:rPr>
                <w:rFonts w:ascii="Times New Roman" w:hAnsi="Times New Roman" w:cs="Times New Roman"/>
                <w:b/>
                <w:sz w:val="24"/>
                <w:szCs w:val="24"/>
              </w:rPr>
            </w:pPr>
            <w:r>
              <w:rPr>
                <w:rFonts w:ascii="Times New Roman" w:hAnsi="Times New Roman" w:cs="Times New Roman"/>
                <w:b/>
                <w:sz w:val="24"/>
                <w:szCs w:val="24"/>
              </w:rPr>
              <w:t>9</w:t>
            </w:r>
            <w:r w:rsidR="0058046E" w:rsidRPr="0058046E">
              <w:rPr>
                <w:rFonts w:ascii="Times New Roman" w:hAnsi="Times New Roman" w:cs="Times New Roman"/>
                <w:b/>
                <w:sz w:val="24"/>
                <w:szCs w:val="24"/>
              </w:rPr>
              <w:t>. Modalités de codage des situations relevant d’une indication conforme à l’indication agréée aux collectivités/liste en sus, mais avec un schéma posologique différent de celui de l’AMM (dose et/ou rythme d’administration)</w:t>
            </w:r>
            <w:r w:rsidR="004206D7">
              <w:rPr>
                <w:rFonts w:ascii="Times New Roman" w:hAnsi="Times New Roman" w:cs="Times New Roman"/>
                <w:b/>
                <w:sz w:val="24"/>
                <w:szCs w:val="24"/>
              </w:rPr>
              <w:t>.</w:t>
            </w:r>
          </w:p>
          <w:p w14:paraId="7827D616" w14:textId="77777777" w:rsidR="004206D7" w:rsidRDefault="004206D7" w:rsidP="00C706EE">
            <w:pPr>
              <w:jc w:val="both"/>
              <w:rPr>
                <w:rFonts w:ascii="Times New Roman" w:hAnsi="Times New Roman" w:cs="Times New Roman"/>
                <w:b/>
                <w:sz w:val="24"/>
                <w:szCs w:val="24"/>
              </w:rPr>
            </w:pPr>
          </w:p>
        </w:tc>
        <w:tc>
          <w:tcPr>
            <w:tcW w:w="9075" w:type="dxa"/>
            <w:tcBorders>
              <w:right w:val="single" w:sz="12" w:space="0" w:color="auto"/>
            </w:tcBorders>
          </w:tcPr>
          <w:p w14:paraId="2B4D1356" w14:textId="77777777" w:rsidR="00C706EE" w:rsidRPr="00C706EE" w:rsidRDefault="0058046E" w:rsidP="00C706EE">
            <w:pPr>
              <w:jc w:val="both"/>
              <w:rPr>
                <w:rFonts w:ascii="Times New Roman" w:hAnsi="Times New Roman" w:cs="Times New Roman"/>
                <w:sz w:val="24"/>
                <w:szCs w:val="24"/>
              </w:rPr>
            </w:pPr>
            <w:r w:rsidRPr="0058046E">
              <w:rPr>
                <w:rFonts w:ascii="Times New Roman" w:hAnsi="Times New Roman" w:cs="Times New Roman"/>
                <w:sz w:val="24"/>
                <w:szCs w:val="24"/>
              </w:rPr>
              <w:t>Coder ces situations avec le code indication correspondant à l’indication agréée aux collectivités/liste en sus et non le code I999999</w:t>
            </w:r>
            <w:r w:rsidR="005A552C">
              <w:rPr>
                <w:rFonts w:ascii="Times New Roman" w:hAnsi="Times New Roman" w:cs="Times New Roman"/>
                <w:sz w:val="24"/>
                <w:szCs w:val="24"/>
              </w:rPr>
              <w:t xml:space="preserve"> ou S999999</w:t>
            </w:r>
            <w:r w:rsidRPr="0058046E">
              <w:rPr>
                <w:rFonts w:ascii="Times New Roman" w:hAnsi="Times New Roman" w:cs="Times New Roman"/>
                <w:sz w:val="24"/>
                <w:szCs w:val="24"/>
              </w:rPr>
              <w:t>.</w:t>
            </w:r>
          </w:p>
        </w:tc>
      </w:tr>
      <w:tr w:rsidR="00C706EE" w14:paraId="2E83D740" w14:textId="77777777" w:rsidTr="00BC3E24">
        <w:tc>
          <w:tcPr>
            <w:tcW w:w="5579" w:type="dxa"/>
            <w:tcBorders>
              <w:left w:val="single" w:sz="12" w:space="0" w:color="auto"/>
            </w:tcBorders>
          </w:tcPr>
          <w:p w14:paraId="58B7CEA9" w14:textId="6ACBE7F6" w:rsidR="0058046E" w:rsidRPr="0058046E" w:rsidRDefault="0058046E" w:rsidP="0058046E">
            <w:pPr>
              <w:jc w:val="both"/>
              <w:rPr>
                <w:rFonts w:ascii="Times New Roman" w:hAnsi="Times New Roman" w:cs="Times New Roman"/>
                <w:b/>
                <w:sz w:val="24"/>
                <w:szCs w:val="24"/>
              </w:rPr>
            </w:pPr>
            <w:r w:rsidRPr="0058046E">
              <w:rPr>
                <w:rFonts w:ascii="Times New Roman" w:hAnsi="Times New Roman" w:cs="Times New Roman"/>
                <w:b/>
                <w:sz w:val="24"/>
                <w:szCs w:val="24"/>
              </w:rPr>
              <w:t>1</w:t>
            </w:r>
            <w:r w:rsidR="00BC3E24">
              <w:rPr>
                <w:rFonts w:ascii="Times New Roman" w:hAnsi="Times New Roman" w:cs="Times New Roman"/>
                <w:b/>
                <w:sz w:val="24"/>
                <w:szCs w:val="24"/>
              </w:rPr>
              <w:t>0</w:t>
            </w:r>
            <w:r w:rsidRPr="0058046E">
              <w:rPr>
                <w:rFonts w:ascii="Times New Roman" w:hAnsi="Times New Roman" w:cs="Times New Roman"/>
                <w:b/>
                <w:sz w:val="24"/>
                <w:szCs w:val="24"/>
              </w:rPr>
              <w:t>. Modalités de codage des situations relevant d’une indication conforme à l’indication agréée aux collectivités/liste en sus, mais avec une voie d’administration différente de l’AMM:</w:t>
            </w:r>
          </w:p>
          <w:p w14:paraId="1E802135" w14:textId="77777777" w:rsidR="004206D7" w:rsidRDefault="0058046E" w:rsidP="0058046E">
            <w:pPr>
              <w:jc w:val="both"/>
              <w:rPr>
                <w:rFonts w:ascii="Times New Roman" w:hAnsi="Times New Roman" w:cs="Times New Roman"/>
                <w:b/>
                <w:sz w:val="24"/>
                <w:szCs w:val="24"/>
              </w:rPr>
            </w:pPr>
            <w:r w:rsidRPr="0058046E">
              <w:rPr>
                <w:rFonts w:ascii="Times New Roman" w:hAnsi="Times New Roman" w:cs="Times New Roman"/>
                <w:b/>
                <w:sz w:val="24"/>
                <w:szCs w:val="24"/>
              </w:rPr>
              <w:t>Deux cas sont à différencier :</w:t>
            </w:r>
          </w:p>
        </w:tc>
        <w:tc>
          <w:tcPr>
            <w:tcW w:w="9075" w:type="dxa"/>
            <w:tcBorders>
              <w:right w:val="single" w:sz="12" w:space="0" w:color="auto"/>
            </w:tcBorders>
            <w:shd w:val="clear" w:color="auto" w:fill="A6A6A6" w:themeFill="background1" w:themeFillShade="A6"/>
          </w:tcPr>
          <w:p w14:paraId="3486B2BD" w14:textId="77777777" w:rsidR="00C706EE" w:rsidRPr="00C706EE" w:rsidRDefault="00C706EE" w:rsidP="00C706EE">
            <w:pPr>
              <w:jc w:val="both"/>
              <w:rPr>
                <w:rFonts w:ascii="Times New Roman" w:hAnsi="Times New Roman" w:cs="Times New Roman"/>
                <w:sz w:val="24"/>
                <w:szCs w:val="24"/>
              </w:rPr>
            </w:pPr>
          </w:p>
        </w:tc>
      </w:tr>
      <w:tr w:rsidR="00C706EE" w14:paraId="144A7C4B" w14:textId="77777777" w:rsidTr="00BC3E24">
        <w:tc>
          <w:tcPr>
            <w:tcW w:w="5579" w:type="dxa"/>
            <w:tcBorders>
              <w:left w:val="single" w:sz="12" w:space="0" w:color="auto"/>
            </w:tcBorders>
          </w:tcPr>
          <w:p w14:paraId="12E57CE2" w14:textId="77777777" w:rsidR="0058046E" w:rsidRPr="0058046E" w:rsidRDefault="0058046E" w:rsidP="0058046E">
            <w:pPr>
              <w:jc w:val="both"/>
              <w:rPr>
                <w:rFonts w:ascii="Times New Roman" w:hAnsi="Times New Roman" w:cs="Times New Roman"/>
                <w:b/>
                <w:sz w:val="24"/>
                <w:szCs w:val="24"/>
              </w:rPr>
            </w:pPr>
            <w:r w:rsidRPr="0058046E">
              <w:rPr>
                <w:rFonts w:ascii="Times New Roman" w:hAnsi="Times New Roman" w:cs="Times New Roman"/>
                <w:b/>
                <w:sz w:val="24"/>
                <w:szCs w:val="24"/>
              </w:rPr>
              <w:t xml:space="preserve">1/ utilisation d’une autre voie d’administration liée à l’impossibilité d’utiliser chez le patient la voie indiquée (passage de la voie IV à la voie SC notamment) </w:t>
            </w:r>
          </w:p>
          <w:p w14:paraId="08F49A49" w14:textId="77777777" w:rsidR="004206D7" w:rsidRDefault="0058046E" w:rsidP="004206D7">
            <w:pPr>
              <w:jc w:val="both"/>
              <w:rPr>
                <w:rFonts w:ascii="Times New Roman" w:hAnsi="Times New Roman" w:cs="Times New Roman"/>
                <w:b/>
                <w:sz w:val="24"/>
                <w:szCs w:val="24"/>
              </w:rPr>
            </w:pPr>
            <w:r w:rsidRPr="0058046E">
              <w:rPr>
                <w:rFonts w:ascii="Times New Roman" w:hAnsi="Times New Roman" w:cs="Times New Roman"/>
                <w:b/>
                <w:sz w:val="24"/>
                <w:szCs w:val="24"/>
              </w:rPr>
              <w:t>ex : administration d’HIZENTRA® par voie sous-cutanée à la place de TEGELINE® par voie IV dans l’indication « neuropathie motrice multifocale »</w:t>
            </w:r>
            <w:r w:rsidR="004206D7">
              <w:rPr>
                <w:rFonts w:ascii="Times New Roman" w:hAnsi="Times New Roman" w:cs="Times New Roman"/>
                <w:b/>
                <w:sz w:val="24"/>
                <w:szCs w:val="24"/>
              </w:rPr>
              <w:t>.</w:t>
            </w:r>
          </w:p>
        </w:tc>
        <w:tc>
          <w:tcPr>
            <w:tcW w:w="9075" w:type="dxa"/>
            <w:tcBorders>
              <w:right w:val="single" w:sz="12" w:space="0" w:color="auto"/>
            </w:tcBorders>
          </w:tcPr>
          <w:p w14:paraId="2ACF8E21" w14:textId="77777777" w:rsidR="0058046E" w:rsidRPr="0058046E" w:rsidRDefault="0058046E" w:rsidP="0058046E">
            <w:pPr>
              <w:jc w:val="both"/>
              <w:rPr>
                <w:rFonts w:ascii="Times New Roman" w:hAnsi="Times New Roman" w:cs="Times New Roman"/>
                <w:sz w:val="24"/>
                <w:szCs w:val="24"/>
              </w:rPr>
            </w:pPr>
            <w:r w:rsidRPr="0058046E">
              <w:rPr>
                <w:rFonts w:ascii="Times New Roman" w:hAnsi="Times New Roman" w:cs="Times New Roman"/>
                <w:sz w:val="24"/>
                <w:szCs w:val="24"/>
              </w:rPr>
              <w:t xml:space="preserve">S'il s'agit d'une indication inscrite sur </w:t>
            </w:r>
            <w:proofErr w:type="spellStart"/>
            <w:r w:rsidRPr="0058046E">
              <w:rPr>
                <w:rFonts w:ascii="Times New Roman" w:hAnsi="Times New Roman" w:cs="Times New Roman"/>
                <w:sz w:val="24"/>
                <w:szCs w:val="24"/>
              </w:rPr>
              <w:t>la</w:t>
            </w:r>
            <w:proofErr w:type="spellEnd"/>
            <w:r w:rsidRPr="0058046E">
              <w:rPr>
                <w:rFonts w:ascii="Times New Roman" w:hAnsi="Times New Roman" w:cs="Times New Roman"/>
                <w:sz w:val="24"/>
                <w:szCs w:val="24"/>
              </w:rPr>
              <w:t xml:space="preserve"> LES : utilisation du code </w:t>
            </w:r>
            <w:r w:rsidR="005A552C">
              <w:rPr>
                <w:rFonts w:ascii="Times New Roman" w:hAnsi="Times New Roman" w:cs="Times New Roman"/>
                <w:sz w:val="24"/>
                <w:szCs w:val="24"/>
              </w:rPr>
              <w:t>« I999999 »</w:t>
            </w:r>
            <w:r w:rsidRPr="0058046E">
              <w:rPr>
                <w:rFonts w:ascii="Times New Roman" w:hAnsi="Times New Roman" w:cs="Times New Roman"/>
                <w:sz w:val="24"/>
                <w:szCs w:val="24"/>
              </w:rPr>
              <w:t xml:space="preserve"> </w:t>
            </w:r>
            <w:r w:rsidR="005A552C">
              <w:rPr>
                <w:rFonts w:ascii="Times New Roman" w:hAnsi="Times New Roman" w:cs="Times New Roman"/>
                <w:sz w:val="24"/>
                <w:szCs w:val="24"/>
              </w:rPr>
              <w:t xml:space="preserve">ou « S999999 » </w:t>
            </w:r>
            <w:r w:rsidRPr="0058046E">
              <w:rPr>
                <w:rFonts w:ascii="Times New Roman" w:hAnsi="Times New Roman" w:cs="Times New Roman"/>
                <w:sz w:val="24"/>
                <w:szCs w:val="24"/>
              </w:rPr>
              <w:t xml:space="preserve">si : l'état du patient le justifie / il existe un intérêt clinique important à la poursuite du traitement / il existe des données de la littérature solides permettant de justifier cet usage. </w:t>
            </w:r>
          </w:p>
          <w:p w14:paraId="778C56E2" w14:textId="77777777" w:rsidR="0058046E" w:rsidRPr="0058046E" w:rsidRDefault="0058046E" w:rsidP="0058046E">
            <w:pPr>
              <w:jc w:val="both"/>
              <w:rPr>
                <w:rFonts w:ascii="Times New Roman" w:hAnsi="Times New Roman" w:cs="Times New Roman"/>
                <w:sz w:val="24"/>
                <w:szCs w:val="24"/>
              </w:rPr>
            </w:pPr>
          </w:p>
          <w:p w14:paraId="5DEE2691" w14:textId="77777777" w:rsidR="00C706EE" w:rsidRPr="00C706EE" w:rsidRDefault="0058046E" w:rsidP="0058046E">
            <w:pPr>
              <w:jc w:val="both"/>
              <w:rPr>
                <w:rFonts w:ascii="Times New Roman" w:hAnsi="Times New Roman" w:cs="Times New Roman"/>
                <w:sz w:val="24"/>
                <w:szCs w:val="24"/>
              </w:rPr>
            </w:pPr>
            <w:r w:rsidRPr="0058046E">
              <w:rPr>
                <w:rFonts w:ascii="Times New Roman" w:hAnsi="Times New Roman" w:cs="Times New Roman"/>
                <w:sz w:val="24"/>
                <w:szCs w:val="24"/>
              </w:rPr>
              <w:t>S'il s'agit d'une indication non PEC en sus : pas de codage.</w:t>
            </w:r>
          </w:p>
        </w:tc>
      </w:tr>
      <w:tr w:rsidR="00C706EE" w14:paraId="09B40107" w14:textId="77777777" w:rsidTr="00BC3E24">
        <w:tc>
          <w:tcPr>
            <w:tcW w:w="5579" w:type="dxa"/>
            <w:tcBorders>
              <w:left w:val="single" w:sz="12" w:space="0" w:color="auto"/>
            </w:tcBorders>
          </w:tcPr>
          <w:p w14:paraId="088F0724" w14:textId="77777777" w:rsidR="0058046E" w:rsidRPr="0058046E" w:rsidRDefault="0058046E" w:rsidP="0058046E">
            <w:pPr>
              <w:jc w:val="both"/>
              <w:rPr>
                <w:rFonts w:ascii="Times New Roman" w:hAnsi="Times New Roman" w:cs="Times New Roman"/>
                <w:b/>
                <w:sz w:val="24"/>
                <w:szCs w:val="24"/>
              </w:rPr>
            </w:pPr>
            <w:r w:rsidRPr="0058046E">
              <w:rPr>
                <w:rFonts w:ascii="Times New Roman" w:hAnsi="Times New Roman" w:cs="Times New Roman"/>
                <w:b/>
                <w:sz w:val="24"/>
                <w:szCs w:val="24"/>
              </w:rPr>
              <w:t>2/ utilisation d’une autre voie d’administration sans impératif abord patient (passage de la voie IV à la voie SC notamment) :</w:t>
            </w:r>
          </w:p>
          <w:p w14:paraId="7211A4E6" w14:textId="77777777" w:rsidR="00C706EE" w:rsidRDefault="0058046E" w:rsidP="0058046E">
            <w:pPr>
              <w:jc w:val="both"/>
              <w:rPr>
                <w:rFonts w:ascii="Times New Roman" w:hAnsi="Times New Roman" w:cs="Times New Roman"/>
                <w:b/>
                <w:sz w:val="24"/>
                <w:szCs w:val="24"/>
              </w:rPr>
            </w:pPr>
            <w:proofErr w:type="gramStart"/>
            <w:r w:rsidRPr="0058046E">
              <w:rPr>
                <w:rFonts w:ascii="Times New Roman" w:hAnsi="Times New Roman" w:cs="Times New Roman"/>
                <w:b/>
                <w:sz w:val="24"/>
                <w:szCs w:val="24"/>
              </w:rPr>
              <w:t>ex:</w:t>
            </w:r>
            <w:proofErr w:type="gramEnd"/>
            <w:r w:rsidRPr="0058046E">
              <w:rPr>
                <w:rFonts w:ascii="Times New Roman" w:hAnsi="Times New Roman" w:cs="Times New Roman"/>
                <w:b/>
                <w:sz w:val="24"/>
                <w:szCs w:val="24"/>
              </w:rPr>
              <w:t xml:space="preserve"> administration de rituximab - MABTHERA® par voie sous-cutanée à la place de la voie IV dans l’indication « Leucémie Lymphoïde Chronique ».</w:t>
            </w:r>
          </w:p>
          <w:p w14:paraId="29F00DEE" w14:textId="77777777" w:rsidR="004206D7" w:rsidRDefault="004206D7" w:rsidP="0058046E">
            <w:pPr>
              <w:jc w:val="both"/>
              <w:rPr>
                <w:rFonts w:ascii="Times New Roman" w:hAnsi="Times New Roman" w:cs="Times New Roman"/>
                <w:b/>
                <w:sz w:val="24"/>
                <w:szCs w:val="24"/>
              </w:rPr>
            </w:pPr>
          </w:p>
        </w:tc>
        <w:tc>
          <w:tcPr>
            <w:tcW w:w="9075" w:type="dxa"/>
            <w:tcBorders>
              <w:right w:val="single" w:sz="12" w:space="0" w:color="auto"/>
            </w:tcBorders>
          </w:tcPr>
          <w:p w14:paraId="79533F65" w14:textId="77777777" w:rsidR="00C706EE" w:rsidRPr="00C706EE" w:rsidRDefault="0058046E" w:rsidP="00C706EE">
            <w:pPr>
              <w:jc w:val="both"/>
              <w:rPr>
                <w:rFonts w:ascii="Times New Roman" w:hAnsi="Times New Roman" w:cs="Times New Roman"/>
                <w:sz w:val="24"/>
                <w:szCs w:val="24"/>
              </w:rPr>
            </w:pPr>
            <w:r w:rsidRPr="0058046E">
              <w:rPr>
                <w:rFonts w:ascii="Times New Roman" w:hAnsi="Times New Roman" w:cs="Times New Roman"/>
                <w:sz w:val="24"/>
                <w:szCs w:val="24"/>
              </w:rPr>
              <w:t>Aucun codage possible.</w:t>
            </w:r>
          </w:p>
        </w:tc>
      </w:tr>
      <w:tr w:rsidR="00C706EE" w14:paraId="4658EBAF" w14:textId="77777777" w:rsidTr="00BC3E24">
        <w:tc>
          <w:tcPr>
            <w:tcW w:w="5579" w:type="dxa"/>
            <w:tcBorders>
              <w:left w:val="single" w:sz="12" w:space="0" w:color="auto"/>
            </w:tcBorders>
          </w:tcPr>
          <w:p w14:paraId="59981C6B" w14:textId="77777777" w:rsidR="00C706EE" w:rsidRDefault="0058046E" w:rsidP="00C706EE">
            <w:pPr>
              <w:jc w:val="both"/>
              <w:rPr>
                <w:rFonts w:ascii="Times New Roman" w:hAnsi="Times New Roman" w:cs="Times New Roman"/>
                <w:b/>
                <w:sz w:val="24"/>
                <w:szCs w:val="24"/>
              </w:rPr>
            </w:pPr>
            <w:r w:rsidRPr="0058046E">
              <w:rPr>
                <w:rFonts w:ascii="Times New Roman" w:hAnsi="Times New Roman" w:cs="Times New Roman"/>
                <w:b/>
                <w:sz w:val="24"/>
                <w:szCs w:val="24"/>
              </w:rPr>
              <w:t>12. Modalités de codage des situations de maintenance</w:t>
            </w:r>
            <w:r w:rsidR="004206D7">
              <w:rPr>
                <w:rFonts w:ascii="Times New Roman" w:hAnsi="Times New Roman" w:cs="Times New Roman"/>
                <w:b/>
                <w:sz w:val="24"/>
                <w:szCs w:val="24"/>
              </w:rPr>
              <w:t>.</w:t>
            </w:r>
          </w:p>
        </w:tc>
        <w:tc>
          <w:tcPr>
            <w:tcW w:w="9075" w:type="dxa"/>
            <w:tcBorders>
              <w:right w:val="single" w:sz="12" w:space="0" w:color="auto"/>
            </w:tcBorders>
          </w:tcPr>
          <w:p w14:paraId="3B871B86" w14:textId="77777777" w:rsidR="0058046E" w:rsidRPr="0058046E" w:rsidRDefault="0058046E" w:rsidP="0058046E">
            <w:pPr>
              <w:jc w:val="both"/>
              <w:rPr>
                <w:rFonts w:ascii="Times New Roman" w:hAnsi="Times New Roman" w:cs="Times New Roman"/>
                <w:sz w:val="24"/>
                <w:szCs w:val="24"/>
              </w:rPr>
            </w:pPr>
            <w:r w:rsidRPr="0058046E">
              <w:rPr>
                <w:rFonts w:ascii="Times New Roman" w:hAnsi="Times New Roman" w:cs="Times New Roman"/>
                <w:sz w:val="24"/>
                <w:szCs w:val="24"/>
                <w:u w:val="single"/>
              </w:rPr>
              <w:t>1er cas</w:t>
            </w:r>
            <w:r>
              <w:rPr>
                <w:rFonts w:ascii="Times New Roman" w:hAnsi="Times New Roman" w:cs="Times New Roman"/>
                <w:sz w:val="24"/>
                <w:szCs w:val="24"/>
              </w:rPr>
              <w:t xml:space="preserve"> </w:t>
            </w:r>
            <w:r w:rsidRPr="0058046E">
              <w:rPr>
                <w:rFonts w:ascii="Times New Roman" w:hAnsi="Times New Roman" w:cs="Times New Roman"/>
                <w:sz w:val="24"/>
                <w:szCs w:val="24"/>
              </w:rPr>
              <w:t>: Pour un traitement d'entretien qui intervient à la suite d'une indication AMM prise en charge en sus:</w:t>
            </w:r>
          </w:p>
          <w:p w14:paraId="4937B7AD" w14:textId="77777777" w:rsidR="0058046E" w:rsidRPr="0058046E" w:rsidRDefault="0058046E" w:rsidP="0058046E">
            <w:pPr>
              <w:jc w:val="both"/>
              <w:rPr>
                <w:rFonts w:ascii="Times New Roman" w:hAnsi="Times New Roman" w:cs="Times New Roman"/>
                <w:sz w:val="24"/>
                <w:szCs w:val="24"/>
              </w:rPr>
            </w:pPr>
            <w:r w:rsidRPr="0058046E">
              <w:rPr>
                <w:rFonts w:ascii="Times New Roman" w:hAnsi="Times New Roman" w:cs="Times New Roman"/>
                <w:sz w:val="24"/>
                <w:szCs w:val="24"/>
              </w:rPr>
              <w:t xml:space="preserve">Code = celui de l'indication inscrite sur </w:t>
            </w:r>
            <w:proofErr w:type="spellStart"/>
            <w:r w:rsidRPr="0058046E">
              <w:rPr>
                <w:rFonts w:ascii="Times New Roman" w:hAnsi="Times New Roman" w:cs="Times New Roman"/>
                <w:sz w:val="24"/>
                <w:szCs w:val="24"/>
              </w:rPr>
              <w:t>la</w:t>
            </w:r>
            <w:proofErr w:type="spellEnd"/>
            <w:r w:rsidRPr="0058046E">
              <w:rPr>
                <w:rFonts w:ascii="Times New Roman" w:hAnsi="Times New Roman" w:cs="Times New Roman"/>
                <w:sz w:val="24"/>
                <w:szCs w:val="24"/>
              </w:rPr>
              <w:t xml:space="preserve"> LES ou de l'indication agrées aux collectivités.</w:t>
            </w:r>
          </w:p>
          <w:p w14:paraId="798E3313" w14:textId="77777777" w:rsidR="0058046E" w:rsidRPr="0058046E" w:rsidRDefault="0058046E" w:rsidP="0058046E">
            <w:pPr>
              <w:jc w:val="both"/>
              <w:rPr>
                <w:rFonts w:ascii="Times New Roman" w:hAnsi="Times New Roman" w:cs="Times New Roman"/>
                <w:sz w:val="24"/>
                <w:szCs w:val="24"/>
              </w:rPr>
            </w:pPr>
          </w:p>
          <w:p w14:paraId="5F4A47D4" w14:textId="77777777" w:rsidR="0058046E" w:rsidRPr="0058046E" w:rsidRDefault="0058046E" w:rsidP="0058046E">
            <w:pPr>
              <w:jc w:val="both"/>
              <w:rPr>
                <w:rFonts w:ascii="Times New Roman" w:hAnsi="Times New Roman" w:cs="Times New Roman"/>
                <w:sz w:val="24"/>
                <w:szCs w:val="24"/>
              </w:rPr>
            </w:pPr>
            <w:r w:rsidRPr="0058046E">
              <w:rPr>
                <w:rFonts w:ascii="Times New Roman" w:hAnsi="Times New Roman" w:cs="Times New Roman"/>
                <w:sz w:val="24"/>
                <w:szCs w:val="24"/>
                <w:u w:val="single"/>
              </w:rPr>
              <w:t xml:space="preserve">2ème cas </w:t>
            </w:r>
            <w:r w:rsidRPr="0058046E">
              <w:rPr>
                <w:rFonts w:ascii="Times New Roman" w:hAnsi="Times New Roman" w:cs="Times New Roman"/>
                <w:sz w:val="24"/>
                <w:szCs w:val="24"/>
              </w:rPr>
              <w:t>: "I999999"</w:t>
            </w:r>
            <w:r w:rsidR="0084371F">
              <w:rPr>
                <w:rFonts w:ascii="Times New Roman" w:hAnsi="Times New Roman" w:cs="Times New Roman"/>
                <w:sz w:val="24"/>
                <w:szCs w:val="24"/>
              </w:rPr>
              <w:t xml:space="preserve"> ou "S999999"</w:t>
            </w:r>
            <w:r w:rsidRPr="0058046E">
              <w:rPr>
                <w:rFonts w:ascii="Times New Roman" w:hAnsi="Times New Roman" w:cs="Times New Roman"/>
                <w:sz w:val="24"/>
                <w:szCs w:val="24"/>
              </w:rPr>
              <w:t xml:space="preserve"> si :</w:t>
            </w:r>
          </w:p>
          <w:p w14:paraId="3FB26775" w14:textId="77777777" w:rsidR="0058046E" w:rsidRPr="0058046E" w:rsidRDefault="0058046E" w:rsidP="0058046E">
            <w:pPr>
              <w:jc w:val="both"/>
              <w:rPr>
                <w:rFonts w:ascii="Times New Roman" w:hAnsi="Times New Roman" w:cs="Times New Roman"/>
                <w:sz w:val="24"/>
                <w:szCs w:val="24"/>
              </w:rPr>
            </w:pPr>
            <w:r w:rsidRPr="0058046E">
              <w:rPr>
                <w:rFonts w:ascii="Times New Roman" w:hAnsi="Times New Roman" w:cs="Times New Roman"/>
                <w:sz w:val="24"/>
                <w:szCs w:val="24"/>
              </w:rPr>
              <w:t>- l'état du patient le justifie ;</w:t>
            </w:r>
          </w:p>
          <w:p w14:paraId="3A37CC5F" w14:textId="77777777" w:rsidR="0058046E" w:rsidRPr="0058046E" w:rsidRDefault="0058046E" w:rsidP="0058046E">
            <w:pPr>
              <w:jc w:val="both"/>
              <w:rPr>
                <w:rFonts w:ascii="Times New Roman" w:hAnsi="Times New Roman" w:cs="Times New Roman"/>
                <w:sz w:val="24"/>
                <w:szCs w:val="24"/>
              </w:rPr>
            </w:pPr>
            <w:r w:rsidRPr="0058046E">
              <w:rPr>
                <w:rFonts w:ascii="Times New Roman" w:hAnsi="Times New Roman" w:cs="Times New Roman"/>
                <w:sz w:val="24"/>
                <w:szCs w:val="24"/>
              </w:rPr>
              <w:lastRenderedPageBreak/>
              <w:t>- il existe un intérêt clinique important à la poursuite du traitement</w:t>
            </w:r>
            <w:r>
              <w:rPr>
                <w:rFonts w:ascii="Times New Roman" w:hAnsi="Times New Roman" w:cs="Times New Roman"/>
                <w:sz w:val="24"/>
                <w:szCs w:val="24"/>
              </w:rPr>
              <w:t> ;</w:t>
            </w:r>
          </w:p>
          <w:p w14:paraId="09A81C53" w14:textId="77777777" w:rsidR="00C706EE" w:rsidRDefault="0058046E" w:rsidP="0058046E">
            <w:pPr>
              <w:jc w:val="both"/>
              <w:rPr>
                <w:rFonts w:ascii="Times New Roman" w:hAnsi="Times New Roman" w:cs="Times New Roman"/>
                <w:sz w:val="24"/>
                <w:szCs w:val="24"/>
              </w:rPr>
            </w:pPr>
            <w:r w:rsidRPr="0058046E">
              <w:rPr>
                <w:rFonts w:ascii="Times New Roman" w:hAnsi="Times New Roman" w:cs="Times New Roman"/>
                <w:sz w:val="24"/>
                <w:szCs w:val="24"/>
              </w:rPr>
              <w:t>- il existe des données de la littérature solides permettant de justifier cet usage.</w:t>
            </w:r>
          </w:p>
          <w:p w14:paraId="11535E64" w14:textId="77777777" w:rsidR="004206D7" w:rsidRPr="00C706EE" w:rsidRDefault="004206D7" w:rsidP="0058046E">
            <w:pPr>
              <w:jc w:val="both"/>
              <w:rPr>
                <w:rFonts w:ascii="Times New Roman" w:hAnsi="Times New Roman" w:cs="Times New Roman"/>
                <w:sz w:val="24"/>
                <w:szCs w:val="24"/>
              </w:rPr>
            </w:pPr>
          </w:p>
        </w:tc>
      </w:tr>
      <w:tr w:rsidR="00C706EE" w14:paraId="4D1665A0" w14:textId="77777777" w:rsidTr="00BC3E24">
        <w:tc>
          <w:tcPr>
            <w:tcW w:w="5579" w:type="dxa"/>
            <w:tcBorders>
              <w:left w:val="single" w:sz="12" w:space="0" w:color="auto"/>
            </w:tcBorders>
          </w:tcPr>
          <w:p w14:paraId="5C566BBE" w14:textId="1383261B" w:rsidR="00C706EE" w:rsidRDefault="0058046E" w:rsidP="00C706EE">
            <w:pPr>
              <w:jc w:val="both"/>
              <w:rPr>
                <w:rFonts w:ascii="Times New Roman" w:hAnsi="Times New Roman" w:cs="Times New Roman"/>
                <w:b/>
                <w:sz w:val="24"/>
                <w:szCs w:val="24"/>
              </w:rPr>
            </w:pPr>
            <w:r w:rsidRPr="0058046E">
              <w:rPr>
                <w:rFonts w:ascii="Times New Roman" w:hAnsi="Times New Roman" w:cs="Times New Roman"/>
                <w:b/>
                <w:sz w:val="24"/>
                <w:szCs w:val="24"/>
              </w:rPr>
              <w:lastRenderedPageBreak/>
              <w:t>13. Modalités de codage des situations où le médicament associé est remplacé par un autre médicament de la même classe thérapeutique (ex. sels de platine, taxanes) pour une indication AMM prise en charge en sus des GHS</w:t>
            </w:r>
            <w:r w:rsidR="00592A44">
              <w:rPr>
                <w:rFonts w:ascii="Times New Roman" w:hAnsi="Times New Roman" w:cs="Times New Roman"/>
                <w:b/>
                <w:sz w:val="24"/>
                <w:szCs w:val="24"/>
              </w:rPr>
              <w:t>/GMT</w:t>
            </w:r>
            <w:r w:rsidR="004206D7">
              <w:rPr>
                <w:rFonts w:ascii="Times New Roman" w:hAnsi="Times New Roman" w:cs="Times New Roman"/>
                <w:b/>
                <w:sz w:val="24"/>
                <w:szCs w:val="24"/>
              </w:rPr>
              <w:t>.</w:t>
            </w:r>
          </w:p>
          <w:p w14:paraId="7A7049B0" w14:textId="77777777" w:rsidR="004206D7" w:rsidRDefault="004206D7" w:rsidP="00C706EE">
            <w:pPr>
              <w:jc w:val="both"/>
              <w:rPr>
                <w:rFonts w:ascii="Times New Roman" w:hAnsi="Times New Roman" w:cs="Times New Roman"/>
                <w:b/>
                <w:sz w:val="24"/>
                <w:szCs w:val="24"/>
              </w:rPr>
            </w:pPr>
          </w:p>
        </w:tc>
        <w:tc>
          <w:tcPr>
            <w:tcW w:w="9075" w:type="dxa"/>
            <w:tcBorders>
              <w:right w:val="single" w:sz="12" w:space="0" w:color="auto"/>
            </w:tcBorders>
          </w:tcPr>
          <w:p w14:paraId="40C7D3D5" w14:textId="77777777" w:rsidR="00C706EE" w:rsidRPr="00C706EE" w:rsidRDefault="0058046E" w:rsidP="00C706EE">
            <w:pPr>
              <w:jc w:val="both"/>
              <w:rPr>
                <w:rFonts w:ascii="Times New Roman" w:hAnsi="Times New Roman" w:cs="Times New Roman"/>
                <w:sz w:val="24"/>
                <w:szCs w:val="24"/>
              </w:rPr>
            </w:pPr>
            <w:r w:rsidRPr="0058046E">
              <w:rPr>
                <w:rFonts w:ascii="Times New Roman" w:hAnsi="Times New Roman" w:cs="Times New Roman"/>
                <w:sz w:val="24"/>
                <w:szCs w:val="24"/>
              </w:rPr>
              <w:t xml:space="preserve">Codage "I999999" </w:t>
            </w:r>
            <w:r w:rsidR="0084371F">
              <w:rPr>
                <w:rFonts w:ascii="Times New Roman" w:hAnsi="Times New Roman" w:cs="Times New Roman"/>
                <w:sz w:val="24"/>
                <w:szCs w:val="24"/>
              </w:rPr>
              <w:t>ou "S999999"</w:t>
            </w:r>
            <w:r w:rsidR="0084371F" w:rsidRPr="0058046E">
              <w:rPr>
                <w:rFonts w:ascii="Times New Roman" w:hAnsi="Times New Roman" w:cs="Times New Roman"/>
                <w:sz w:val="24"/>
                <w:szCs w:val="24"/>
              </w:rPr>
              <w:t xml:space="preserve"> </w:t>
            </w:r>
            <w:r w:rsidRPr="0058046E">
              <w:rPr>
                <w:rFonts w:ascii="Times New Roman" w:hAnsi="Times New Roman" w:cs="Times New Roman"/>
                <w:sz w:val="24"/>
                <w:szCs w:val="24"/>
              </w:rPr>
              <w:t>possible.</w:t>
            </w:r>
          </w:p>
        </w:tc>
      </w:tr>
      <w:tr w:rsidR="00C706EE" w14:paraId="30E607D1" w14:textId="77777777" w:rsidTr="00BC3E24">
        <w:tc>
          <w:tcPr>
            <w:tcW w:w="5579" w:type="dxa"/>
            <w:tcBorders>
              <w:left w:val="single" w:sz="12" w:space="0" w:color="auto"/>
            </w:tcBorders>
          </w:tcPr>
          <w:p w14:paraId="6F457D65" w14:textId="77777777" w:rsidR="00C706EE" w:rsidRDefault="0058046E" w:rsidP="00C706EE">
            <w:pPr>
              <w:jc w:val="both"/>
              <w:rPr>
                <w:rFonts w:ascii="Times New Roman" w:hAnsi="Times New Roman" w:cs="Times New Roman"/>
                <w:b/>
                <w:sz w:val="24"/>
                <w:szCs w:val="24"/>
              </w:rPr>
            </w:pPr>
            <w:r w:rsidRPr="0058046E">
              <w:rPr>
                <w:rFonts w:ascii="Times New Roman" w:hAnsi="Times New Roman" w:cs="Times New Roman"/>
                <w:b/>
                <w:sz w:val="24"/>
                <w:szCs w:val="24"/>
              </w:rPr>
              <w:t>14. Modalités de codage des indications où le médicament associé est supprimé (pour cause notamment de toxicité)</w:t>
            </w:r>
            <w:r w:rsidR="004206D7">
              <w:rPr>
                <w:rFonts w:ascii="Times New Roman" w:hAnsi="Times New Roman" w:cs="Times New Roman"/>
                <w:b/>
                <w:sz w:val="24"/>
                <w:szCs w:val="24"/>
              </w:rPr>
              <w:t>.</w:t>
            </w:r>
          </w:p>
          <w:p w14:paraId="57E87677" w14:textId="77777777" w:rsidR="004206D7" w:rsidRDefault="004206D7" w:rsidP="00C706EE">
            <w:pPr>
              <w:jc w:val="both"/>
              <w:rPr>
                <w:rFonts w:ascii="Times New Roman" w:hAnsi="Times New Roman" w:cs="Times New Roman"/>
                <w:b/>
                <w:sz w:val="24"/>
                <w:szCs w:val="24"/>
              </w:rPr>
            </w:pPr>
          </w:p>
        </w:tc>
        <w:tc>
          <w:tcPr>
            <w:tcW w:w="9075" w:type="dxa"/>
            <w:tcBorders>
              <w:right w:val="single" w:sz="12" w:space="0" w:color="auto"/>
            </w:tcBorders>
          </w:tcPr>
          <w:p w14:paraId="0C1586EE" w14:textId="77777777" w:rsidR="00C706EE" w:rsidRPr="00C706EE" w:rsidRDefault="0058046E" w:rsidP="00C706EE">
            <w:pPr>
              <w:jc w:val="both"/>
              <w:rPr>
                <w:rFonts w:ascii="Times New Roman" w:hAnsi="Times New Roman" w:cs="Times New Roman"/>
                <w:sz w:val="24"/>
                <w:szCs w:val="24"/>
              </w:rPr>
            </w:pPr>
            <w:r w:rsidRPr="0058046E">
              <w:rPr>
                <w:rFonts w:ascii="Times New Roman" w:hAnsi="Times New Roman" w:cs="Times New Roman"/>
                <w:sz w:val="24"/>
                <w:szCs w:val="24"/>
              </w:rPr>
              <w:t>Lorsque cela fait suite à une indication de l'AMM prise en charge en sus, le code indication LES à utiliser est celui de l’indication agréée aux collectivités/inscrite sur la liste en sus.</w:t>
            </w:r>
          </w:p>
        </w:tc>
      </w:tr>
      <w:tr w:rsidR="00C706EE" w14:paraId="4C7E5414" w14:textId="77777777" w:rsidTr="00BC3E24">
        <w:tc>
          <w:tcPr>
            <w:tcW w:w="5579" w:type="dxa"/>
            <w:tcBorders>
              <w:left w:val="single" w:sz="12" w:space="0" w:color="auto"/>
              <w:bottom w:val="single" w:sz="12" w:space="0" w:color="auto"/>
            </w:tcBorders>
          </w:tcPr>
          <w:p w14:paraId="03C6AEFA" w14:textId="77777777" w:rsidR="00C706EE" w:rsidRDefault="0058046E" w:rsidP="00C706EE">
            <w:pPr>
              <w:jc w:val="both"/>
              <w:rPr>
                <w:rFonts w:ascii="Times New Roman" w:hAnsi="Times New Roman" w:cs="Times New Roman"/>
                <w:b/>
                <w:sz w:val="24"/>
                <w:szCs w:val="24"/>
              </w:rPr>
            </w:pPr>
            <w:r w:rsidRPr="0058046E">
              <w:rPr>
                <w:rFonts w:ascii="Times New Roman" w:hAnsi="Times New Roman" w:cs="Times New Roman"/>
                <w:b/>
                <w:sz w:val="24"/>
                <w:szCs w:val="24"/>
              </w:rPr>
              <w:t>15. Modalités de codage des indications des ex-PTT</w:t>
            </w:r>
            <w:r w:rsidR="004206D7">
              <w:rPr>
                <w:rFonts w:ascii="Times New Roman" w:hAnsi="Times New Roman" w:cs="Times New Roman"/>
                <w:b/>
                <w:sz w:val="24"/>
                <w:szCs w:val="24"/>
              </w:rPr>
              <w:t>.</w:t>
            </w:r>
          </w:p>
        </w:tc>
        <w:tc>
          <w:tcPr>
            <w:tcW w:w="9075" w:type="dxa"/>
            <w:tcBorders>
              <w:bottom w:val="single" w:sz="12" w:space="0" w:color="auto"/>
              <w:right w:val="single" w:sz="12" w:space="0" w:color="auto"/>
            </w:tcBorders>
          </w:tcPr>
          <w:p w14:paraId="78335C52" w14:textId="77777777" w:rsidR="0058046E" w:rsidRPr="0058046E" w:rsidRDefault="0058046E" w:rsidP="0058046E">
            <w:pPr>
              <w:jc w:val="both"/>
              <w:rPr>
                <w:rFonts w:ascii="Times New Roman" w:hAnsi="Times New Roman" w:cs="Times New Roman"/>
                <w:sz w:val="24"/>
                <w:szCs w:val="24"/>
              </w:rPr>
            </w:pPr>
            <w:r w:rsidRPr="0058046E">
              <w:rPr>
                <w:rFonts w:ascii="Times New Roman" w:hAnsi="Times New Roman" w:cs="Times New Roman"/>
                <w:sz w:val="24"/>
                <w:szCs w:val="24"/>
              </w:rPr>
              <w:t xml:space="preserve">Ces indications ne disposent pas de code indication car il n’y a plus de base légale. </w:t>
            </w:r>
          </w:p>
          <w:p w14:paraId="6569BC22" w14:textId="77777777" w:rsidR="004206D7" w:rsidRPr="0058046E" w:rsidRDefault="0058046E" w:rsidP="0058046E">
            <w:pPr>
              <w:jc w:val="both"/>
              <w:rPr>
                <w:rFonts w:ascii="Times New Roman" w:hAnsi="Times New Roman" w:cs="Times New Roman"/>
                <w:sz w:val="24"/>
                <w:szCs w:val="24"/>
              </w:rPr>
            </w:pPr>
            <w:r w:rsidRPr="0058046E">
              <w:rPr>
                <w:rFonts w:ascii="Times New Roman" w:hAnsi="Times New Roman" w:cs="Times New Roman"/>
                <w:sz w:val="24"/>
                <w:szCs w:val="24"/>
              </w:rPr>
              <w:t xml:space="preserve">Ces spécialités ne font pas l’objet d’une prise en charge AM au titre de l’article L. 162-17-2-1 du CSS </w:t>
            </w:r>
            <w:r w:rsidR="00EF1B3C">
              <w:rPr>
                <w:rFonts w:ascii="Times New Roman" w:hAnsi="Times New Roman" w:cs="Times New Roman"/>
                <w:sz w:val="24"/>
                <w:szCs w:val="24"/>
              </w:rPr>
              <w:t>dans sa version antérieure au 1</w:t>
            </w:r>
            <w:r w:rsidR="00EF1B3C" w:rsidRPr="00EF1B3C">
              <w:rPr>
                <w:rFonts w:ascii="Times New Roman" w:hAnsi="Times New Roman" w:cs="Times New Roman"/>
                <w:sz w:val="24"/>
                <w:szCs w:val="24"/>
                <w:vertAlign w:val="superscript"/>
              </w:rPr>
              <w:t>er</w:t>
            </w:r>
            <w:r w:rsidR="00EF1B3C">
              <w:rPr>
                <w:rFonts w:ascii="Times New Roman" w:hAnsi="Times New Roman" w:cs="Times New Roman"/>
                <w:sz w:val="24"/>
                <w:szCs w:val="24"/>
              </w:rPr>
              <w:t xml:space="preserve"> juillet 2021 </w:t>
            </w:r>
            <w:r w:rsidRPr="0058046E">
              <w:rPr>
                <w:rFonts w:ascii="Times New Roman" w:hAnsi="Times New Roman" w:cs="Times New Roman"/>
                <w:sz w:val="24"/>
                <w:szCs w:val="24"/>
              </w:rPr>
              <w:t>(RTU) matérialisée par une publi</w:t>
            </w:r>
            <w:r>
              <w:rPr>
                <w:rFonts w:ascii="Times New Roman" w:hAnsi="Times New Roman" w:cs="Times New Roman"/>
                <w:sz w:val="24"/>
                <w:szCs w:val="24"/>
              </w:rPr>
              <w:t>cation d’un</w:t>
            </w:r>
            <w:r w:rsidRPr="0058046E">
              <w:rPr>
                <w:rFonts w:ascii="Times New Roman" w:hAnsi="Times New Roman" w:cs="Times New Roman"/>
                <w:sz w:val="24"/>
                <w:szCs w:val="24"/>
              </w:rPr>
              <w:t xml:space="preserve"> arrêté au Journal Officiel.</w:t>
            </w:r>
          </w:p>
          <w:p w14:paraId="2463586B" w14:textId="77777777" w:rsidR="00C706EE" w:rsidRDefault="0058046E" w:rsidP="0058046E">
            <w:pPr>
              <w:jc w:val="both"/>
              <w:rPr>
                <w:rFonts w:ascii="Times New Roman" w:hAnsi="Times New Roman" w:cs="Times New Roman"/>
                <w:sz w:val="24"/>
                <w:szCs w:val="24"/>
              </w:rPr>
            </w:pPr>
            <w:r w:rsidRPr="0058046E">
              <w:rPr>
                <w:rFonts w:ascii="Times New Roman" w:hAnsi="Times New Roman" w:cs="Times New Roman"/>
                <w:sz w:val="24"/>
                <w:szCs w:val="24"/>
              </w:rPr>
              <w:t>Aucun codage</w:t>
            </w:r>
            <w:r w:rsidR="00DF0114">
              <w:rPr>
                <w:rFonts w:ascii="Times New Roman" w:hAnsi="Times New Roman" w:cs="Times New Roman"/>
                <w:sz w:val="24"/>
                <w:szCs w:val="24"/>
              </w:rPr>
              <w:t xml:space="preserve"> spécifique</w:t>
            </w:r>
            <w:r w:rsidRPr="0058046E">
              <w:rPr>
                <w:rFonts w:ascii="Times New Roman" w:hAnsi="Times New Roman" w:cs="Times New Roman"/>
                <w:sz w:val="24"/>
                <w:szCs w:val="24"/>
              </w:rPr>
              <w:t xml:space="preserve"> n'est possible.</w:t>
            </w:r>
          </w:p>
          <w:p w14:paraId="1243C236" w14:textId="77777777" w:rsidR="004206D7" w:rsidRPr="00C706EE" w:rsidRDefault="004206D7" w:rsidP="0058046E">
            <w:pPr>
              <w:jc w:val="both"/>
              <w:rPr>
                <w:rFonts w:ascii="Times New Roman" w:hAnsi="Times New Roman" w:cs="Times New Roman"/>
                <w:sz w:val="24"/>
                <w:szCs w:val="24"/>
              </w:rPr>
            </w:pPr>
          </w:p>
        </w:tc>
      </w:tr>
    </w:tbl>
    <w:p w14:paraId="256C6187" w14:textId="64E57123" w:rsidR="00FF2684" w:rsidRDefault="00FF2684" w:rsidP="004206D7">
      <w:pPr>
        <w:spacing w:after="0" w:line="240" w:lineRule="auto"/>
        <w:rPr>
          <w:rFonts w:ascii="Times New Roman" w:hAnsi="Times New Roman" w:cs="Times New Roman"/>
          <w:b/>
          <w:sz w:val="24"/>
          <w:szCs w:val="24"/>
        </w:rPr>
      </w:pPr>
    </w:p>
    <w:p w14:paraId="3C98C93B" w14:textId="77777777" w:rsidR="00FF2684" w:rsidRDefault="00FF2684">
      <w:pPr>
        <w:rPr>
          <w:rFonts w:ascii="Times New Roman" w:hAnsi="Times New Roman" w:cs="Times New Roman"/>
          <w:b/>
          <w:sz w:val="24"/>
          <w:szCs w:val="24"/>
        </w:rPr>
      </w:pPr>
      <w:r>
        <w:rPr>
          <w:rFonts w:ascii="Times New Roman" w:hAnsi="Times New Roman" w:cs="Times New Roman"/>
          <w:b/>
          <w:sz w:val="24"/>
          <w:szCs w:val="24"/>
        </w:rPr>
        <w:br w:type="page"/>
      </w:r>
    </w:p>
    <w:p w14:paraId="2545FECF" w14:textId="77777777" w:rsidR="00FF2684" w:rsidRDefault="00FF2684">
      <w:pPr>
        <w:rPr>
          <w:rFonts w:ascii="Times New Roman" w:hAnsi="Times New Roman" w:cs="Times New Roman"/>
          <w:b/>
          <w:sz w:val="24"/>
          <w:szCs w:val="24"/>
        </w:rPr>
        <w:sectPr w:rsidR="00FF2684" w:rsidSect="00C706EE">
          <w:pgSz w:w="16838" w:h="11906" w:orient="landscape"/>
          <w:pgMar w:top="1077" w:right="1077" w:bottom="1077" w:left="1077" w:header="709" w:footer="709" w:gutter="0"/>
          <w:cols w:space="708"/>
          <w:docGrid w:linePitch="360"/>
        </w:sectPr>
      </w:pPr>
    </w:p>
    <w:p w14:paraId="6299681E" w14:textId="77777777" w:rsidR="006B1FD3" w:rsidRPr="00765D01" w:rsidRDefault="00FF2684" w:rsidP="006B1FD3">
      <w:pPr>
        <w:spacing w:after="0" w:line="240" w:lineRule="auto"/>
        <w:jc w:val="both"/>
        <w:rPr>
          <w:rFonts w:ascii="Times New Roman" w:hAnsi="Times New Roman" w:cs="Times New Roman"/>
          <w:sz w:val="24"/>
          <w:szCs w:val="24"/>
          <w:u w:val="single"/>
        </w:rPr>
      </w:pPr>
      <w:r w:rsidRPr="00C706EE">
        <w:rPr>
          <w:rFonts w:ascii="Times New Roman" w:hAnsi="Times New Roman" w:cs="Times New Roman"/>
          <w:b/>
          <w:sz w:val="24"/>
          <w:szCs w:val="24"/>
        </w:rPr>
        <w:lastRenderedPageBreak/>
        <w:t>ANNEXE</w:t>
      </w:r>
      <w:r>
        <w:rPr>
          <w:rFonts w:ascii="Times New Roman" w:hAnsi="Times New Roman" w:cs="Times New Roman"/>
          <w:b/>
          <w:sz w:val="24"/>
          <w:szCs w:val="24"/>
        </w:rPr>
        <w:t xml:space="preserve"> 2 :</w:t>
      </w:r>
      <w:r w:rsidRPr="00FF2684">
        <w:rPr>
          <w:rFonts w:ascii="Times New Roman" w:hAnsi="Times New Roman" w:cs="Times New Roman"/>
          <w:b/>
          <w:sz w:val="24"/>
          <w:szCs w:val="24"/>
        </w:rPr>
        <w:t xml:space="preserve"> </w:t>
      </w:r>
      <w:r w:rsidR="006B1FD3" w:rsidRPr="00BC3E24">
        <w:rPr>
          <w:rFonts w:ascii="Times New Roman" w:hAnsi="Times New Roman" w:cs="Times New Roman"/>
          <w:b/>
          <w:bCs/>
          <w:sz w:val="24"/>
          <w:szCs w:val="24"/>
        </w:rPr>
        <w:t>Evolution de la mise en place du codage indication dans les différents secteurs d’activité.</w:t>
      </w:r>
    </w:p>
    <w:p w14:paraId="323C2921" w14:textId="77777777" w:rsidR="006B1FD3" w:rsidRDefault="006B1FD3" w:rsidP="006B1FD3">
      <w:pPr>
        <w:spacing w:after="0" w:line="240" w:lineRule="auto"/>
        <w:jc w:val="both"/>
        <w:rPr>
          <w:rFonts w:ascii="Times New Roman" w:hAnsi="Times New Roman" w:cs="Times New Roman"/>
          <w:sz w:val="24"/>
          <w:szCs w:val="24"/>
        </w:rPr>
      </w:pPr>
    </w:p>
    <w:p w14:paraId="4902B5D9" w14:textId="77777777" w:rsidR="006B1FD3" w:rsidRDefault="006B1FD3" w:rsidP="006B1FD3">
      <w:pPr>
        <w:spacing w:after="0" w:line="240" w:lineRule="auto"/>
        <w:jc w:val="both"/>
        <w:rPr>
          <w:rFonts w:ascii="Times New Roman" w:hAnsi="Times New Roman" w:cs="Times New Roman"/>
          <w:sz w:val="24"/>
          <w:szCs w:val="24"/>
          <w:u w:val="single"/>
        </w:rPr>
      </w:pPr>
      <w:r w:rsidRPr="001B07F9">
        <w:rPr>
          <w:rFonts w:ascii="Times New Roman" w:hAnsi="Times New Roman" w:cs="Times New Roman"/>
          <w:sz w:val="24"/>
          <w:szCs w:val="24"/>
          <w:u w:val="single"/>
        </w:rPr>
        <w:t>C</w:t>
      </w:r>
      <w:r>
        <w:rPr>
          <w:rFonts w:ascii="Times New Roman" w:hAnsi="Times New Roman" w:cs="Times New Roman"/>
          <w:sz w:val="24"/>
          <w:szCs w:val="24"/>
          <w:u w:val="single"/>
        </w:rPr>
        <w:t>alendrier (MCO)</w:t>
      </w:r>
    </w:p>
    <w:p w14:paraId="08071E07" w14:textId="77777777" w:rsidR="006B1FD3" w:rsidRPr="00105B4A" w:rsidRDefault="006B1FD3" w:rsidP="006B1FD3">
      <w:pPr>
        <w:pStyle w:val="Paragraphedeliste"/>
        <w:numPr>
          <w:ilvl w:val="0"/>
          <w:numId w:val="7"/>
        </w:numPr>
        <w:ind w:left="567" w:hanging="567"/>
        <w:jc w:val="both"/>
        <w:rPr>
          <w:rFonts w:ascii="Times New Roman" w:hAnsi="Times New Roman" w:cs="Times New Roman"/>
          <w:sz w:val="24"/>
          <w:szCs w:val="24"/>
        </w:rPr>
      </w:pPr>
      <w:r w:rsidRPr="00105B4A">
        <w:rPr>
          <w:rFonts w:ascii="Times New Roman" w:hAnsi="Times New Roman" w:cs="Times New Roman"/>
          <w:sz w:val="24"/>
          <w:szCs w:val="24"/>
        </w:rPr>
        <w:t>Au 1er mars 2018, le renseignement de ce nouveau code indication est rendu possible</w:t>
      </w:r>
      <w:r>
        <w:rPr>
          <w:rFonts w:ascii="Times New Roman" w:hAnsi="Times New Roman" w:cs="Times New Roman"/>
          <w:sz w:val="24"/>
          <w:szCs w:val="24"/>
        </w:rPr>
        <w:t>.</w:t>
      </w:r>
    </w:p>
    <w:p w14:paraId="14179E01" w14:textId="77777777" w:rsidR="006B1FD3" w:rsidRPr="00105B4A" w:rsidRDefault="006B1FD3" w:rsidP="006B1FD3">
      <w:pPr>
        <w:pStyle w:val="Paragraphedeliste"/>
        <w:numPr>
          <w:ilvl w:val="0"/>
          <w:numId w:val="7"/>
        </w:numPr>
        <w:spacing w:before="100" w:after="100"/>
        <w:ind w:left="567" w:right="-29" w:hanging="567"/>
        <w:jc w:val="both"/>
        <w:rPr>
          <w:rFonts w:ascii="Times New Roman" w:hAnsi="Times New Roman" w:cs="Times New Roman"/>
          <w:sz w:val="24"/>
          <w:szCs w:val="24"/>
        </w:rPr>
      </w:pPr>
      <w:r w:rsidRPr="00105B4A">
        <w:rPr>
          <w:rFonts w:ascii="Times New Roman" w:hAnsi="Times New Roman" w:cs="Times New Roman"/>
          <w:sz w:val="24"/>
          <w:szCs w:val="24"/>
        </w:rPr>
        <w:t>Au 1er septembre 2018 un code devra être renseigné pour que la facture soit valorisée. Cette adaptation pour conséquence que les établissements ne doivent transmettre que les seules indications relevant d’une prise en charge par la liste en sus. Le code transmis ne sera pas bloquant en facturation. Cette période permettra un accompagnement dans la fiabilisation du codage.</w:t>
      </w:r>
    </w:p>
    <w:p w14:paraId="69154D53" w14:textId="77777777" w:rsidR="006B1FD3" w:rsidRPr="00105B4A" w:rsidRDefault="006B1FD3" w:rsidP="006B1FD3">
      <w:pPr>
        <w:pStyle w:val="Paragraphedeliste"/>
        <w:numPr>
          <w:ilvl w:val="0"/>
          <w:numId w:val="7"/>
        </w:numPr>
        <w:spacing w:before="100" w:after="100"/>
        <w:ind w:left="567" w:right="-29" w:hanging="567"/>
        <w:jc w:val="both"/>
        <w:rPr>
          <w:rFonts w:ascii="Times New Roman" w:hAnsi="Times New Roman" w:cs="Times New Roman"/>
          <w:sz w:val="24"/>
          <w:szCs w:val="24"/>
        </w:rPr>
      </w:pPr>
      <w:r w:rsidRPr="00105B4A">
        <w:rPr>
          <w:rFonts w:ascii="Times New Roman" w:hAnsi="Times New Roman" w:cs="Times New Roman"/>
          <w:sz w:val="24"/>
          <w:szCs w:val="24"/>
        </w:rPr>
        <w:t xml:space="preserve">Au 1er mars 2019 un code correspondant à l’indication dans laquelle le médicament est prescrit doit être renseigné pour que la facture soit valorisée lorsque l’indication est inscrite sur la liste en sus. </w:t>
      </w:r>
    </w:p>
    <w:p w14:paraId="7144557F" w14:textId="77777777" w:rsidR="006B1FD3" w:rsidRDefault="006B1FD3" w:rsidP="006B1FD3">
      <w:pPr>
        <w:spacing w:after="0" w:line="240" w:lineRule="auto"/>
        <w:jc w:val="both"/>
        <w:rPr>
          <w:rFonts w:ascii="Times New Roman" w:hAnsi="Times New Roman" w:cs="Times New Roman"/>
          <w:sz w:val="24"/>
          <w:szCs w:val="24"/>
          <w:u w:val="single"/>
        </w:rPr>
      </w:pPr>
    </w:p>
    <w:p w14:paraId="6590DC00" w14:textId="77777777" w:rsidR="006B1FD3" w:rsidRDefault="006B1FD3" w:rsidP="006B1FD3">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Calendrier (HAD)</w:t>
      </w:r>
    </w:p>
    <w:p w14:paraId="0154D760" w14:textId="77777777" w:rsidR="006B1FD3" w:rsidRPr="00105B4A" w:rsidRDefault="006B1FD3" w:rsidP="006B1FD3">
      <w:pPr>
        <w:pStyle w:val="Paragraphedeliste"/>
        <w:numPr>
          <w:ilvl w:val="0"/>
          <w:numId w:val="7"/>
        </w:numPr>
        <w:ind w:left="567" w:hanging="567"/>
        <w:jc w:val="both"/>
        <w:rPr>
          <w:rFonts w:ascii="Times New Roman" w:hAnsi="Times New Roman" w:cs="Times New Roman"/>
          <w:sz w:val="24"/>
          <w:szCs w:val="24"/>
        </w:rPr>
      </w:pPr>
      <w:r w:rsidRPr="00105B4A">
        <w:rPr>
          <w:rFonts w:ascii="Times New Roman" w:hAnsi="Times New Roman" w:cs="Times New Roman"/>
          <w:sz w:val="24"/>
          <w:szCs w:val="24"/>
        </w:rPr>
        <w:t>Au 1er mars 2018, le renseignement de ce nouveau code indication est rendu possible</w:t>
      </w:r>
      <w:r>
        <w:rPr>
          <w:rFonts w:ascii="Times New Roman" w:hAnsi="Times New Roman" w:cs="Times New Roman"/>
          <w:sz w:val="24"/>
          <w:szCs w:val="24"/>
        </w:rPr>
        <w:t>.</w:t>
      </w:r>
    </w:p>
    <w:p w14:paraId="2ED73C84" w14:textId="77777777" w:rsidR="006B1FD3" w:rsidRPr="00105B4A" w:rsidRDefault="006B1FD3" w:rsidP="006B1FD3">
      <w:pPr>
        <w:pStyle w:val="Paragraphedeliste"/>
        <w:numPr>
          <w:ilvl w:val="0"/>
          <w:numId w:val="7"/>
        </w:numPr>
        <w:spacing w:before="100" w:after="100"/>
        <w:ind w:left="567" w:right="-29" w:hanging="567"/>
        <w:jc w:val="both"/>
        <w:rPr>
          <w:rFonts w:ascii="Times New Roman" w:hAnsi="Times New Roman" w:cs="Times New Roman"/>
          <w:sz w:val="24"/>
          <w:szCs w:val="24"/>
        </w:rPr>
      </w:pPr>
      <w:r w:rsidRPr="00105B4A">
        <w:rPr>
          <w:rFonts w:ascii="Times New Roman" w:hAnsi="Times New Roman" w:cs="Times New Roman"/>
          <w:sz w:val="24"/>
          <w:szCs w:val="24"/>
        </w:rPr>
        <w:t xml:space="preserve">Au 1er </w:t>
      </w:r>
      <w:r>
        <w:rPr>
          <w:rFonts w:ascii="Times New Roman" w:hAnsi="Times New Roman" w:cs="Times New Roman"/>
          <w:sz w:val="24"/>
          <w:szCs w:val="24"/>
        </w:rPr>
        <w:t>mars 2019</w:t>
      </w:r>
      <w:r w:rsidRPr="00105B4A">
        <w:rPr>
          <w:rFonts w:ascii="Times New Roman" w:hAnsi="Times New Roman" w:cs="Times New Roman"/>
          <w:sz w:val="24"/>
          <w:szCs w:val="24"/>
        </w:rPr>
        <w:t xml:space="preserve"> un code devra être renseigné pour que la facture soit valorisée. Cette adaptation pour conséquence que les établissements ne doivent transmettre que les seules indications relevant d’une prise en charge par la liste en sus. Le code transmis ne sera pas bloquant en facturation. Cette période permettra un accompagnement dans la fiabilisation du codage.</w:t>
      </w:r>
    </w:p>
    <w:p w14:paraId="1239681A" w14:textId="77777777" w:rsidR="006B1FD3" w:rsidRDefault="006B1FD3" w:rsidP="006B1FD3">
      <w:pPr>
        <w:pStyle w:val="Paragraphedeliste"/>
        <w:numPr>
          <w:ilvl w:val="0"/>
          <w:numId w:val="7"/>
        </w:numPr>
        <w:spacing w:before="100" w:after="100"/>
        <w:ind w:left="567" w:right="-29" w:hanging="567"/>
        <w:jc w:val="both"/>
        <w:rPr>
          <w:rFonts w:ascii="Times New Roman" w:hAnsi="Times New Roman" w:cs="Times New Roman"/>
          <w:sz w:val="24"/>
          <w:szCs w:val="24"/>
        </w:rPr>
      </w:pPr>
      <w:r w:rsidRPr="00105B4A">
        <w:rPr>
          <w:rFonts w:ascii="Times New Roman" w:hAnsi="Times New Roman" w:cs="Times New Roman"/>
          <w:sz w:val="24"/>
          <w:szCs w:val="24"/>
        </w:rPr>
        <w:t xml:space="preserve">Au 1er </w:t>
      </w:r>
      <w:r>
        <w:rPr>
          <w:rFonts w:ascii="Times New Roman" w:hAnsi="Times New Roman" w:cs="Times New Roman"/>
          <w:sz w:val="24"/>
          <w:szCs w:val="24"/>
        </w:rPr>
        <w:t>décembre 2019</w:t>
      </w:r>
      <w:r w:rsidRPr="00105B4A">
        <w:rPr>
          <w:rFonts w:ascii="Times New Roman" w:hAnsi="Times New Roman" w:cs="Times New Roman"/>
          <w:sz w:val="24"/>
          <w:szCs w:val="24"/>
        </w:rPr>
        <w:t xml:space="preserve"> un code correspondant à l’indication dans laquelle le médicament est prescrit doit être renseigné pour que la facture soit valorisée lorsque l’indication est inscrite sur la liste en sus. </w:t>
      </w:r>
    </w:p>
    <w:p w14:paraId="3F5B6BC0" w14:textId="77777777" w:rsidR="006B1FD3" w:rsidRDefault="006B1FD3" w:rsidP="006B1FD3">
      <w:pPr>
        <w:spacing w:before="100" w:after="100"/>
        <w:ind w:right="-29"/>
        <w:jc w:val="both"/>
        <w:rPr>
          <w:rFonts w:ascii="Times New Roman" w:hAnsi="Times New Roman" w:cs="Times New Roman"/>
          <w:sz w:val="24"/>
          <w:szCs w:val="24"/>
        </w:rPr>
      </w:pPr>
    </w:p>
    <w:p w14:paraId="31416CB8" w14:textId="77777777" w:rsidR="006B1FD3" w:rsidRPr="00FD465C" w:rsidRDefault="006B1FD3" w:rsidP="006B1FD3">
      <w:pPr>
        <w:spacing w:after="0" w:line="240" w:lineRule="auto"/>
        <w:jc w:val="both"/>
        <w:rPr>
          <w:rFonts w:ascii="Times New Roman" w:hAnsi="Times New Roman" w:cs="Times New Roman"/>
          <w:sz w:val="24"/>
          <w:szCs w:val="24"/>
          <w:u w:val="single"/>
        </w:rPr>
      </w:pPr>
      <w:r w:rsidRPr="00FD465C">
        <w:rPr>
          <w:rFonts w:ascii="Times New Roman" w:hAnsi="Times New Roman" w:cs="Times New Roman"/>
          <w:sz w:val="24"/>
          <w:szCs w:val="24"/>
          <w:u w:val="single"/>
        </w:rPr>
        <w:t>Calendrier (SSR/SMR)</w:t>
      </w:r>
    </w:p>
    <w:p w14:paraId="35F4A769" w14:textId="77777777" w:rsidR="006B1FD3" w:rsidRPr="00FD465C" w:rsidRDefault="006B1FD3" w:rsidP="006B1FD3">
      <w:pPr>
        <w:spacing w:after="0"/>
        <w:jc w:val="both"/>
        <w:rPr>
          <w:rFonts w:ascii="Times New Roman" w:hAnsi="Times New Roman" w:cs="Times New Roman"/>
          <w:sz w:val="24"/>
          <w:szCs w:val="24"/>
        </w:rPr>
      </w:pPr>
      <w:r w:rsidRPr="00FD465C">
        <w:rPr>
          <w:rFonts w:ascii="Times New Roman" w:hAnsi="Times New Roman" w:cs="Times New Roman"/>
          <w:sz w:val="24"/>
          <w:szCs w:val="24"/>
        </w:rPr>
        <w:t xml:space="preserve">Au 1er juillet 2023, </w:t>
      </w:r>
    </w:p>
    <w:p w14:paraId="05C73573" w14:textId="77777777" w:rsidR="006B1FD3" w:rsidRPr="00FD465C" w:rsidRDefault="006B1FD3" w:rsidP="006B1FD3">
      <w:pPr>
        <w:pStyle w:val="Paragraphedeliste"/>
        <w:numPr>
          <w:ilvl w:val="0"/>
          <w:numId w:val="7"/>
        </w:numPr>
        <w:ind w:left="567" w:hanging="567"/>
        <w:jc w:val="both"/>
        <w:rPr>
          <w:rFonts w:ascii="Times New Roman" w:hAnsi="Times New Roman" w:cs="Times New Roman"/>
          <w:sz w:val="24"/>
          <w:szCs w:val="24"/>
        </w:rPr>
      </w:pPr>
      <w:r w:rsidRPr="00FD465C">
        <w:rPr>
          <w:rFonts w:ascii="Times New Roman" w:hAnsi="Times New Roman" w:cs="Times New Roman"/>
          <w:sz w:val="24"/>
          <w:szCs w:val="24"/>
        </w:rPr>
        <w:t>Le renseignement de ce nouveau code indication est rendu possible.</w:t>
      </w:r>
    </w:p>
    <w:p w14:paraId="465A2923" w14:textId="77777777" w:rsidR="006B1FD3" w:rsidRPr="00FD465C" w:rsidRDefault="006B1FD3" w:rsidP="006B1FD3">
      <w:pPr>
        <w:pStyle w:val="Paragraphedeliste"/>
        <w:numPr>
          <w:ilvl w:val="0"/>
          <w:numId w:val="7"/>
        </w:numPr>
        <w:spacing w:before="100" w:after="100"/>
        <w:ind w:left="567" w:right="-29" w:hanging="567"/>
        <w:jc w:val="both"/>
        <w:rPr>
          <w:rFonts w:ascii="Times New Roman" w:hAnsi="Times New Roman" w:cs="Times New Roman"/>
          <w:sz w:val="24"/>
          <w:szCs w:val="24"/>
        </w:rPr>
      </w:pPr>
      <w:r w:rsidRPr="00FD465C">
        <w:rPr>
          <w:rFonts w:ascii="Times New Roman" w:hAnsi="Times New Roman" w:cs="Times New Roman"/>
          <w:sz w:val="24"/>
          <w:szCs w:val="24"/>
        </w:rPr>
        <w:t>Un code devra être renseigné pour que la facture soit valorisée. Cette adaptation pour conséquence que les établissements ne doivent transmettre que les seules indications relevant d’une prise en charge par la liste en sus. Le code transmis ne sera pas bloquant en facturation. Cette période permettra un accompagnement dans la fiabilisation du codage.</w:t>
      </w:r>
    </w:p>
    <w:p w14:paraId="0BE8EB93" w14:textId="77777777" w:rsidR="006B1FD3" w:rsidRDefault="006B1FD3" w:rsidP="006B1FD3">
      <w:pPr>
        <w:pStyle w:val="Paragraphedeliste"/>
        <w:numPr>
          <w:ilvl w:val="0"/>
          <w:numId w:val="7"/>
        </w:numPr>
        <w:spacing w:before="100" w:after="100"/>
        <w:ind w:left="567" w:right="-29" w:hanging="567"/>
        <w:jc w:val="both"/>
        <w:rPr>
          <w:rFonts w:ascii="Times New Roman" w:hAnsi="Times New Roman" w:cs="Times New Roman"/>
          <w:sz w:val="24"/>
          <w:szCs w:val="24"/>
        </w:rPr>
      </w:pPr>
      <w:r w:rsidRPr="00FD465C">
        <w:rPr>
          <w:rFonts w:ascii="Times New Roman" w:hAnsi="Times New Roman" w:cs="Times New Roman"/>
          <w:sz w:val="24"/>
          <w:szCs w:val="24"/>
        </w:rPr>
        <w:t xml:space="preserve">Un code correspondant à l’indication dans laquelle le médicament est prescrit doit être renseigné pour que la facture soit valorisée lorsque l’indication est inscrite sur la liste en sus. </w:t>
      </w:r>
    </w:p>
    <w:p w14:paraId="5ECDEDE6" w14:textId="77777777" w:rsidR="006D1132" w:rsidRPr="006D1132" w:rsidRDefault="006D1132" w:rsidP="006D1132">
      <w:pPr>
        <w:spacing w:before="100" w:after="100"/>
        <w:ind w:right="-29"/>
        <w:jc w:val="both"/>
        <w:rPr>
          <w:rFonts w:ascii="Times New Roman" w:hAnsi="Times New Roman" w:cs="Times New Roman"/>
          <w:sz w:val="24"/>
          <w:szCs w:val="24"/>
        </w:rPr>
      </w:pPr>
    </w:p>
    <w:p w14:paraId="292271C5" w14:textId="77777777" w:rsidR="006B1FD3" w:rsidRDefault="006B1FD3">
      <w:pPr>
        <w:rPr>
          <w:rFonts w:ascii="Times New Roman" w:hAnsi="Times New Roman" w:cs="Times New Roman"/>
          <w:b/>
          <w:sz w:val="24"/>
          <w:szCs w:val="24"/>
        </w:rPr>
      </w:pPr>
      <w:r>
        <w:rPr>
          <w:rFonts w:ascii="Times New Roman" w:hAnsi="Times New Roman" w:cs="Times New Roman"/>
          <w:b/>
          <w:sz w:val="24"/>
          <w:szCs w:val="24"/>
        </w:rPr>
        <w:br w:type="page"/>
      </w:r>
    </w:p>
    <w:p w14:paraId="64453C42" w14:textId="53822BDF" w:rsidR="00FF2684" w:rsidRPr="009947B2" w:rsidRDefault="006B1FD3" w:rsidP="00FF2684">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rPr>
        <w:lastRenderedPageBreak/>
        <w:t xml:space="preserve">ANNEXE 3 : </w:t>
      </w:r>
      <w:r w:rsidR="00FF2684" w:rsidRPr="00BC3E24">
        <w:rPr>
          <w:rFonts w:ascii="Times New Roman" w:hAnsi="Times New Roman" w:cs="Times New Roman"/>
          <w:b/>
          <w:sz w:val="24"/>
          <w:szCs w:val="24"/>
        </w:rPr>
        <w:t>Le cas particulier des médicaments pris en charge dans le cadre de l’expérimentation liste en sus (article 51)</w:t>
      </w:r>
    </w:p>
    <w:p w14:paraId="4F259CD9" w14:textId="77777777" w:rsidR="00FF2684" w:rsidRDefault="00FF2684" w:rsidP="00FF2684">
      <w:pPr>
        <w:spacing w:after="0" w:line="240" w:lineRule="auto"/>
        <w:jc w:val="both"/>
        <w:rPr>
          <w:rFonts w:ascii="Times New Roman" w:hAnsi="Times New Roman" w:cs="Times New Roman"/>
          <w:sz w:val="24"/>
          <w:szCs w:val="24"/>
        </w:rPr>
      </w:pPr>
    </w:p>
    <w:p w14:paraId="70FF07BF" w14:textId="77777777" w:rsidR="00FF2684" w:rsidRPr="009947B2" w:rsidRDefault="00FF2684" w:rsidP="00FF2684">
      <w:pPr>
        <w:jc w:val="both"/>
        <w:rPr>
          <w:rFonts w:ascii="Times New Roman" w:hAnsi="Times New Roman" w:cs="Times New Roman"/>
          <w:sz w:val="24"/>
          <w:szCs w:val="24"/>
        </w:rPr>
      </w:pPr>
      <w:r w:rsidRPr="009947B2">
        <w:rPr>
          <w:rFonts w:ascii="Times New Roman" w:hAnsi="Times New Roman" w:cs="Times New Roman"/>
          <w:sz w:val="24"/>
          <w:szCs w:val="24"/>
        </w:rPr>
        <w:t xml:space="preserve">L’expérimentation liste en sus est réalisée à travers un Article 51 - dispositif introduit au cours de la LFSS 2018 et permettant d’expérimenter de nouvelles organisations en santé reposant sur des modes de financement inédits - et regroupe 5 établissements de santé. Celle-ci vise à faire évoluer les conditions d’utilisation et de prise en charge des traitements médicamenteux onéreux au sein des établissements de santé. Il s’agit, ainsi, de permettre une meilleure connaissance des conditions d’utilisation de ces traitements par les équipes hospitalières, à travers un recueil élargi des données, tout en dégageant de plus grandes marges de manœuvre dans le recours à ces traitements (suppression du mécanisme d’EMI/ERI notamment). Ces évolutions, accompagnées d’une responsabilisation accrue des établissements de santé quant à l’usage de ces médicaments, devront renforcer la pertinence des prescriptions de ces produits. </w:t>
      </w:r>
    </w:p>
    <w:p w14:paraId="02D91F34" w14:textId="77777777" w:rsidR="00FF2684" w:rsidRDefault="00FF2684" w:rsidP="00FF2684">
      <w:pPr>
        <w:spacing w:after="0"/>
        <w:jc w:val="both"/>
        <w:rPr>
          <w:rFonts w:ascii="Times New Roman" w:hAnsi="Times New Roman" w:cs="Times New Roman"/>
          <w:sz w:val="24"/>
          <w:szCs w:val="24"/>
        </w:rPr>
      </w:pPr>
      <w:r w:rsidRPr="009947B2">
        <w:rPr>
          <w:rFonts w:ascii="Times New Roman" w:hAnsi="Times New Roman" w:cs="Times New Roman"/>
          <w:sz w:val="24"/>
          <w:szCs w:val="24"/>
        </w:rPr>
        <w:t xml:space="preserve">Cette expérimentation testera également une évolution des conditions de prise en charge des molécules onéreuses (tant sur leur périmètre que sur les modalités de financement). Ainsi, certains médicaments ne pouvant accéder à la liste en sus actuellement, seront pris en charge de manière dérogatoire pour les 5 centres participants. Ces médicaments sont déterminés par arrêté et sont intégrés au référentiel liste en sus au sein duquel ils bénéficient d’un codage basé sur les mêmes principes que les médicaments accédant à la liste en sus par le droit commun. </w:t>
      </w:r>
    </w:p>
    <w:p w14:paraId="5E8EC842" w14:textId="114ADED5" w:rsidR="00FF2684" w:rsidRPr="009947B2" w:rsidRDefault="00FF2684" w:rsidP="00FF2684">
      <w:pPr>
        <w:spacing w:after="0"/>
        <w:jc w:val="both"/>
        <w:rPr>
          <w:rFonts w:ascii="Times New Roman" w:hAnsi="Times New Roman" w:cs="Times New Roman"/>
          <w:b/>
          <w:sz w:val="24"/>
          <w:szCs w:val="24"/>
        </w:rPr>
      </w:pPr>
      <w:r w:rsidRPr="009947B2">
        <w:rPr>
          <w:rFonts w:ascii="Times New Roman" w:hAnsi="Times New Roman" w:cs="Times New Roman"/>
          <w:sz w:val="24"/>
          <w:szCs w:val="24"/>
        </w:rPr>
        <w:t>La codification associée à ces médicaments bénéficiant d’une prise en charge exceptionnelle dans le cadre de l’expérimentation est donc</w:t>
      </w:r>
      <w:r w:rsidRPr="009947B2">
        <w:rPr>
          <w:rFonts w:ascii="Times New Roman" w:hAnsi="Times New Roman" w:cs="Times New Roman"/>
          <w:b/>
          <w:sz w:val="24"/>
          <w:szCs w:val="24"/>
        </w:rPr>
        <w:t xml:space="preserve"> destinée aux 5 établissement</w:t>
      </w:r>
      <w:r w:rsidR="006B1FD3">
        <w:rPr>
          <w:rFonts w:ascii="Times New Roman" w:hAnsi="Times New Roman" w:cs="Times New Roman"/>
          <w:b/>
          <w:sz w:val="24"/>
          <w:szCs w:val="24"/>
        </w:rPr>
        <w:t>s</w:t>
      </w:r>
      <w:r w:rsidRPr="009947B2">
        <w:rPr>
          <w:rFonts w:ascii="Times New Roman" w:hAnsi="Times New Roman" w:cs="Times New Roman"/>
          <w:b/>
          <w:sz w:val="24"/>
          <w:szCs w:val="24"/>
        </w:rPr>
        <w:t xml:space="preserve"> participant à l’Article 51, eux seuls pouvant bénéficier d’une prise en charge de ces produits de santé. </w:t>
      </w:r>
    </w:p>
    <w:p w14:paraId="7B4A1A72" w14:textId="26A578ED" w:rsidR="00C706EE" w:rsidRPr="00C706EE" w:rsidRDefault="00C706EE" w:rsidP="00FF2684">
      <w:pPr>
        <w:spacing w:after="0" w:line="240" w:lineRule="auto"/>
        <w:jc w:val="center"/>
        <w:rPr>
          <w:rFonts w:ascii="Times New Roman" w:hAnsi="Times New Roman" w:cs="Times New Roman"/>
          <w:b/>
          <w:sz w:val="24"/>
          <w:szCs w:val="24"/>
        </w:rPr>
      </w:pPr>
    </w:p>
    <w:sectPr w:rsidR="00C706EE" w:rsidRPr="00C706EE" w:rsidSect="00BC3E24">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D3F2" w14:textId="77777777" w:rsidR="00064F30" w:rsidRDefault="00064F30" w:rsidP="009C436B">
      <w:pPr>
        <w:spacing w:after="0" w:line="240" w:lineRule="auto"/>
      </w:pPr>
      <w:r>
        <w:separator/>
      </w:r>
    </w:p>
  </w:endnote>
  <w:endnote w:type="continuationSeparator" w:id="0">
    <w:p w14:paraId="40B5B16B" w14:textId="77777777" w:rsidR="00064F30" w:rsidRDefault="00064F30" w:rsidP="009C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585622"/>
      <w:docPartObj>
        <w:docPartGallery w:val="Page Numbers (Bottom of Page)"/>
        <w:docPartUnique/>
      </w:docPartObj>
    </w:sdtPr>
    <w:sdtEndPr/>
    <w:sdtContent>
      <w:p w14:paraId="73A2A1A5" w14:textId="6BBCE5A7" w:rsidR="009C436B" w:rsidRDefault="009C436B">
        <w:pPr>
          <w:pStyle w:val="Pieddepage"/>
          <w:jc w:val="right"/>
        </w:pPr>
        <w:r>
          <w:fldChar w:fldCharType="begin"/>
        </w:r>
        <w:r>
          <w:instrText>PAGE   \* MERGEFORMAT</w:instrText>
        </w:r>
        <w:r>
          <w:fldChar w:fldCharType="separate"/>
        </w:r>
        <w:r w:rsidR="00F94E60">
          <w:rPr>
            <w:noProof/>
          </w:rPr>
          <w:t>11</w:t>
        </w:r>
        <w:r>
          <w:fldChar w:fldCharType="end"/>
        </w:r>
      </w:p>
    </w:sdtContent>
  </w:sdt>
  <w:p w14:paraId="41202516" w14:textId="77777777" w:rsidR="009C436B" w:rsidRDefault="009C43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F7138" w14:textId="77777777" w:rsidR="00064F30" w:rsidRDefault="00064F30" w:rsidP="009C436B">
      <w:pPr>
        <w:spacing w:after="0" w:line="240" w:lineRule="auto"/>
      </w:pPr>
      <w:r>
        <w:separator/>
      </w:r>
    </w:p>
  </w:footnote>
  <w:footnote w:type="continuationSeparator" w:id="0">
    <w:p w14:paraId="71556965" w14:textId="77777777" w:rsidR="00064F30" w:rsidRDefault="00064F30" w:rsidP="009C436B">
      <w:pPr>
        <w:spacing w:after="0" w:line="240" w:lineRule="auto"/>
      </w:pPr>
      <w:r>
        <w:continuationSeparator/>
      </w:r>
    </w:p>
  </w:footnote>
  <w:footnote w:id="1">
    <w:p w14:paraId="19DDE7F8" w14:textId="6EC23373" w:rsidR="004636EF" w:rsidRDefault="004636EF">
      <w:pPr>
        <w:pStyle w:val="Notedebasdepage"/>
      </w:pPr>
      <w:r>
        <w:rPr>
          <w:rStyle w:val="Appelnotedebasdep"/>
        </w:rPr>
        <w:footnoteRef/>
      </w:r>
      <w:r>
        <w:t xml:space="preserve"> </w:t>
      </w:r>
      <w:r w:rsidRPr="004636EF">
        <w:t>https://www.atih.sante.fr/guide-methodologique-smr-2024-0</w:t>
      </w:r>
    </w:p>
  </w:footnote>
  <w:footnote w:id="2">
    <w:p w14:paraId="38178A3D" w14:textId="77777777" w:rsidR="00467AF4" w:rsidRPr="00EC5C51" w:rsidRDefault="00467AF4" w:rsidP="00467AF4">
      <w:pPr>
        <w:pStyle w:val="Notedebasdepage"/>
        <w:jc w:val="both"/>
      </w:pPr>
      <w:r w:rsidRPr="00EC5C51">
        <w:rPr>
          <w:rStyle w:val="Appelnotedebasdep"/>
        </w:rPr>
        <w:footnoteRef/>
      </w:r>
      <w:r w:rsidRPr="00EC5C51">
        <w:t xml:space="preserve"> </w:t>
      </w:r>
      <w:r w:rsidRPr="00EC5C51">
        <w:rPr>
          <w:rFonts w:ascii="Times New Roman" w:hAnsi="Times New Roman" w:cs="Times New Roman"/>
        </w:rPr>
        <w:t>Note d’information N° DGOS/DSS/PF2/1C/2018/274 du 12 décembre 2018 relative à l’évolution des modalités de prise en charge en sus des prestations d’hospitalisation, à titre dérogatoire et transitoire, d’une spécialité dans un contexte de tensions d’approvisionnement de la spécialité équivalente.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963AC"/>
    <w:multiLevelType w:val="hybridMultilevel"/>
    <w:tmpl w:val="0A84B80E"/>
    <w:lvl w:ilvl="0" w:tplc="D91CA800">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B22FBD"/>
    <w:multiLevelType w:val="hybridMultilevel"/>
    <w:tmpl w:val="D09A4566"/>
    <w:lvl w:ilvl="0" w:tplc="F4A279D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BB8173C"/>
    <w:multiLevelType w:val="hybridMultilevel"/>
    <w:tmpl w:val="F6408BDA"/>
    <w:lvl w:ilvl="0" w:tplc="40069AB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8B58C7"/>
    <w:multiLevelType w:val="hybridMultilevel"/>
    <w:tmpl w:val="591E507A"/>
    <w:lvl w:ilvl="0" w:tplc="B22CF78C">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B275F3"/>
    <w:multiLevelType w:val="hybridMultilevel"/>
    <w:tmpl w:val="69B811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6953DA5"/>
    <w:multiLevelType w:val="hybridMultilevel"/>
    <w:tmpl w:val="AEE298F8"/>
    <w:lvl w:ilvl="0" w:tplc="1FF2D1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7D35E33"/>
    <w:multiLevelType w:val="hybridMultilevel"/>
    <w:tmpl w:val="F13AC264"/>
    <w:lvl w:ilvl="0" w:tplc="9D74F6E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D8103F"/>
    <w:multiLevelType w:val="hybridMultilevel"/>
    <w:tmpl w:val="E86863F6"/>
    <w:lvl w:ilvl="0" w:tplc="490838C8">
      <w:start w:val="1"/>
      <w:numFmt w:val="decimal"/>
      <w:lvlText w:val="%1."/>
      <w:lvlJc w:val="left"/>
      <w:pPr>
        <w:ind w:left="1065" w:hanging="705"/>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71BB596A"/>
    <w:multiLevelType w:val="hybridMultilevel"/>
    <w:tmpl w:val="6F36FC66"/>
    <w:lvl w:ilvl="0" w:tplc="94F0541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F70916"/>
    <w:multiLevelType w:val="hybridMultilevel"/>
    <w:tmpl w:val="5FD83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4134057">
    <w:abstractNumId w:val="1"/>
  </w:num>
  <w:num w:numId="2" w16cid:durableId="13156403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4052546">
    <w:abstractNumId w:val="5"/>
  </w:num>
  <w:num w:numId="4" w16cid:durableId="1308515745">
    <w:abstractNumId w:val="6"/>
  </w:num>
  <w:num w:numId="5" w16cid:durableId="698433997">
    <w:abstractNumId w:val="8"/>
  </w:num>
  <w:num w:numId="6" w16cid:durableId="1802306199">
    <w:abstractNumId w:val="3"/>
  </w:num>
  <w:num w:numId="7" w16cid:durableId="414060324">
    <w:abstractNumId w:val="0"/>
  </w:num>
  <w:num w:numId="8" w16cid:durableId="574900986">
    <w:abstractNumId w:val="4"/>
  </w:num>
  <w:num w:numId="9" w16cid:durableId="1634941742">
    <w:abstractNumId w:val="2"/>
  </w:num>
  <w:num w:numId="10" w16cid:durableId="1721911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49B"/>
    <w:rsid w:val="00016D38"/>
    <w:rsid w:val="000203C9"/>
    <w:rsid w:val="000372EC"/>
    <w:rsid w:val="00040C4F"/>
    <w:rsid w:val="000625F4"/>
    <w:rsid w:val="00064F30"/>
    <w:rsid w:val="0006527B"/>
    <w:rsid w:val="00085FC2"/>
    <w:rsid w:val="000D4324"/>
    <w:rsid w:val="00105B4A"/>
    <w:rsid w:val="001632BE"/>
    <w:rsid w:val="0016738F"/>
    <w:rsid w:val="00184F75"/>
    <w:rsid w:val="00190B96"/>
    <w:rsid w:val="001B07F9"/>
    <w:rsid w:val="001C6D9A"/>
    <w:rsid w:val="00201C31"/>
    <w:rsid w:val="0021449B"/>
    <w:rsid w:val="00262F11"/>
    <w:rsid w:val="00263C67"/>
    <w:rsid w:val="00282C64"/>
    <w:rsid w:val="002D4CAD"/>
    <w:rsid w:val="00321786"/>
    <w:rsid w:val="003256EE"/>
    <w:rsid w:val="0033760F"/>
    <w:rsid w:val="00371B1A"/>
    <w:rsid w:val="00377B76"/>
    <w:rsid w:val="00384631"/>
    <w:rsid w:val="003B2BAD"/>
    <w:rsid w:val="003E4950"/>
    <w:rsid w:val="003E6334"/>
    <w:rsid w:val="00407B89"/>
    <w:rsid w:val="004206D7"/>
    <w:rsid w:val="00420E35"/>
    <w:rsid w:val="004556A3"/>
    <w:rsid w:val="004636EF"/>
    <w:rsid w:val="00467AF4"/>
    <w:rsid w:val="00471857"/>
    <w:rsid w:val="004875BA"/>
    <w:rsid w:val="00496C93"/>
    <w:rsid w:val="004A3270"/>
    <w:rsid w:val="004C7645"/>
    <w:rsid w:val="004C7C2C"/>
    <w:rsid w:val="004F52E2"/>
    <w:rsid w:val="004F65C6"/>
    <w:rsid w:val="00540B4B"/>
    <w:rsid w:val="005624B2"/>
    <w:rsid w:val="0057447A"/>
    <w:rsid w:val="005759FC"/>
    <w:rsid w:val="0058046E"/>
    <w:rsid w:val="00583453"/>
    <w:rsid w:val="00592A44"/>
    <w:rsid w:val="005A2BCD"/>
    <w:rsid w:val="005A552C"/>
    <w:rsid w:val="005D52FC"/>
    <w:rsid w:val="005E6C96"/>
    <w:rsid w:val="00601375"/>
    <w:rsid w:val="00610464"/>
    <w:rsid w:val="006163E4"/>
    <w:rsid w:val="00617BEB"/>
    <w:rsid w:val="00672761"/>
    <w:rsid w:val="00686E04"/>
    <w:rsid w:val="00690F85"/>
    <w:rsid w:val="006B1FD3"/>
    <w:rsid w:val="006C7E13"/>
    <w:rsid w:val="006D1132"/>
    <w:rsid w:val="006E5007"/>
    <w:rsid w:val="00704FCB"/>
    <w:rsid w:val="007362A9"/>
    <w:rsid w:val="00783DBC"/>
    <w:rsid w:val="00790846"/>
    <w:rsid w:val="007A2B25"/>
    <w:rsid w:val="007A5123"/>
    <w:rsid w:val="007B0CD7"/>
    <w:rsid w:val="007B6CA4"/>
    <w:rsid w:val="007C6CF7"/>
    <w:rsid w:val="007E5BDC"/>
    <w:rsid w:val="00804A2A"/>
    <w:rsid w:val="00820A89"/>
    <w:rsid w:val="00822D6F"/>
    <w:rsid w:val="0084371F"/>
    <w:rsid w:val="00852A28"/>
    <w:rsid w:val="008B42EC"/>
    <w:rsid w:val="00913E0D"/>
    <w:rsid w:val="00921C56"/>
    <w:rsid w:val="00922CFF"/>
    <w:rsid w:val="00925D7B"/>
    <w:rsid w:val="00931A43"/>
    <w:rsid w:val="00964526"/>
    <w:rsid w:val="00967DC4"/>
    <w:rsid w:val="0098348E"/>
    <w:rsid w:val="009873C0"/>
    <w:rsid w:val="009947B2"/>
    <w:rsid w:val="009C436B"/>
    <w:rsid w:val="009C6A59"/>
    <w:rsid w:val="009D1232"/>
    <w:rsid w:val="009E22A3"/>
    <w:rsid w:val="00A05DD2"/>
    <w:rsid w:val="00A547FB"/>
    <w:rsid w:val="00A8145F"/>
    <w:rsid w:val="00AB50C6"/>
    <w:rsid w:val="00AC4885"/>
    <w:rsid w:val="00AD26D1"/>
    <w:rsid w:val="00AD3142"/>
    <w:rsid w:val="00AD49BC"/>
    <w:rsid w:val="00AE0460"/>
    <w:rsid w:val="00B170E8"/>
    <w:rsid w:val="00B228C0"/>
    <w:rsid w:val="00B52B2F"/>
    <w:rsid w:val="00B729D2"/>
    <w:rsid w:val="00BC3E24"/>
    <w:rsid w:val="00BF51E9"/>
    <w:rsid w:val="00C03FF8"/>
    <w:rsid w:val="00C0790A"/>
    <w:rsid w:val="00C20327"/>
    <w:rsid w:val="00C706EE"/>
    <w:rsid w:val="00CC1DBF"/>
    <w:rsid w:val="00CC30D2"/>
    <w:rsid w:val="00CD4329"/>
    <w:rsid w:val="00D23DD9"/>
    <w:rsid w:val="00D3715F"/>
    <w:rsid w:val="00D4308C"/>
    <w:rsid w:val="00D745C9"/>
    <w:rsid w:val="00DA22D2"/>
    <w:rsid w:val="00DA4FAE"/>
    <w:rsid w:val="00DB1466"/>
    <w:rsid w:val="00DF0114"/>
    <w:rsid w:val="00E167AE"/>
    <w:rsid w:val="00E55BDC"/>
    <w:rsid w:val="00E73C42"/>
    <w:rsid w:val="00E743B9"/>
    <w:rsid w:val="00E933FF"/>
    <w:rsid w:val="00EC5C51"/>
    <w:rsid w:val="00EF030A"/>
    <w:rsid w:val="00EF0569"/>
    <w:rsid w:val="00EF1B3C"/>
    <w:rsid w:val="00F0208F"/>
    <w:rsid w:val="00F0653F"/>
    <w:rsid w:val="00F17B82"/>
    <w:rsid w:val="00F25CEF"/>
    <w:rsid w:val="00F5548A"/>
    <w:rsid w:val="00F602FA"/>
    <w:rsid w:val="00F85E23"/>
    <w:rsid w:val="00F93782"/>
    <w:rsid w:val="00F94E60"/>
    <w:rsid w:val="00FA6C32"/>
    <w:rsid w:val="00FD465C"/>
    <w:rsid w:val="00FE6E90"/>
    <w:rsid w:val="00FF2684"/>
    <w:rsid w:val="00FF35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31B87"/>
  <w15:docId w15:val="{DF217255-61D8-4171-881A-7DDAA90D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F5548A"/>
    <w:pPr>
      <w:keepNext/>
      <w:keepLines/>
      <w:pBdr>
        <w:bottom w:val="single" w:sz="4" w:space="1" w:color="auto"/>
      </w:pBdr>
      <w:spacing w:before="240" w:after="0"/>
      <w:jc w:val="both"/>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autoRedefine/>
    <w:uiPriority w:val="9"/>
    <w:unhideWhenUsed/>
    <w:qFormat/>
    <w:rsid w:val="00EF030A"/>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F030A"/>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F5548A"/>
    <w:rPr>
      <w:rFonts w:asciiTheme="majorHAnsi" w:eastAsiaTheme="majorEastAsia" w:hAnsiTheme="majorHAnsi" w:cstheme="majorBidi"/>
      <w:b/>
      <w:bCs/>
      <w:sz w:val="28"/>
      <w:szCs w:val="28"/>
    </w:rPr>
  </w:style>
  <w:style w:type="paragraph" w:styleId="Paragraphedeliste">
    <w:name w:val="List Paragraph"/>
    <w:basedOn w:val="Normal"/>
    <w:uiPriority w:val="34"/>
    <w:qFormat/>
    <w:rsid w:val="0021449B"/>
    <w:pPr>
      <w:spacing w:after="0" w:line="240" w:lineRule="auto"/>
      <w:ind w:left="720"/>
    </w:pPr>
    <w:rPr>
      <w:rFonts w:ascii="Calibri" w:hAnsi="Calibri" w:cs="Calibri"/>
    </w:rPr>
  </w:style>
  <w:style w:type="paragraph" w:styleId="En-tte">
    <w:name w:val="header"/>
    <w:basedOn w:val="Normal"/>
    <w:link w:val="En-tteCar"/>
    <w:uiPriority w:val="99"/>
    <w:unhideWhenUsed/>
    <w:rsid w:val="009C436B"/>
    <w:pPr>
      <w:tabs>
        <w:tab w:val="center" w:pos="4536"/>
        <w:tab w:val="right" w:pos="9072"/>
      </w:tabs>
      <w:spacing w:after="0" w:line="240" w:lineRule="auto"/>
    </w:pPr>
  </w:style>
  <w:style w:type="character" w:customStyle="1" w:styleId="En-tteCar">
    <w:name w:val="En-tête Car"/>
    <w:basedOn w:val="Policepardfaut"/>
    <w:link w:val="En-tte"/>
    <w:uiPriority w:val="99"/>
    <w:rsid w:val="009C436B"/>
  </w:style>
  <w:style w:type="paragraph" w:styleId="Pieddepage">
    <w:name w:val="footer"/>
    <w:basedOn w:val="Normal"/>
    <w:link w:val="PieddepageCar"/>
    <w:uiPriority w:val="99"/>
    <w:unhideWhenUsed/>
    <w:rsid w:val="009C43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436B"/>
  </w:style>
  <w:style w:type="character" w:styleId="Lienhypertexte">
    <w:name w:val="Hyperlink"/>
    <w:basedOn w:val="Policepardfaut"/>
    <w:uiPriority w:val="99"/>
    <w:unhideWhenUsed/>
    <w:rsid w:val="001B07F9"/>
    <w:rPr>
      <w:color w:val="0000FF" w:themeColor="hyperlink"/>
      <w:u w:val="single"/>
    </w:rPr>
  </w:style>
  <w:style w:type="character" w:styleId="Marquedecommentaire">
    <w:name w:val="annotation reference"/>
    <w:basedOn w:val="Policepardfaut"/>
    <w:uiPriority w:val="99"/>
    <w:semiHidden/>
    <w:unhideWhenUsed/>
    <w:rsid w:val="004C7645"/>
    <w:rPr>
      <w:sz w:val="16"/>
      <w:szCs w:val="16"/>
    </w:rPr>
  </w:style>
  <w:style w:type="paragraph" w:styleId="Commentaire">
    <w:name w:val="annotation text"/>
    <w:basedOn w:val="Normal"/>
    <w:link w:val="CommentaireCar"/>
    <w:uiPriority w:val="99"/>
    <w:semiHidden/>
    <w:unhideWhenUsed/>
    <w:rsid w:val="004C7645"/>
    <w:pPr>
      <w:spacing w:line="240" w:lineRule="auto"/>
    </w:pPr>
    <w:rPr>
      <w:sz w:val="20"/>
      <w:szCs w:val="20"/>
    </w:rPr>
  </w:style>
  <w:style w:type="character" w:customStyle="1" w:styleId="CommentaireCar">
    <w:name w:val="Commentaire Car"/>
    <w:basedOn w:val="Policepardfaut"/>
    <w:link w:val="Commentaire"/>
    <w:uiPriority w:val="99"/>
    <w:semiHidden/>
    <w:rsid w:val="004C7645"/>
    <w:rPr>
      <w:sz w:val="20"/>
      <w:szCs w:val="20"/>
    </w:rPr>
  </w:style>
  <w:style w:type="paragraph" w:styleId="Objetducommentaire">
    <w:name w:val="annotation subject"/>
    <w:basedOn w:val="Commentaire"/>
    <w:next w:val="Commentaire"/>
    <w:link w:val="ObjetducommentaireCar"/>
    <w:uiPriority w:val="99"/>
    <w:semiHidden/>
    <w:unhideWhenUsed/>
    <w:rsid w:val="004C7645"/>
    <w:rPr>
      <w:b/>
      <w:bCs/>
    </w:rPr>
  </w:style>
  <w:style w:type="character" w:customStyle="1" w:styleId="ObjetducommentaireCar">
    <w:name w:val="Objet du commentaire Car"/>
    <w:basedOn w:val="CommentaireCar"/>
    <w:link w:val="Objetducommentaire"/>
    <w:uiPriority w:val="99"/>
    <w:semiHidden/>
    <w:rsid w:val="004C7645"/>
    <w:rPr>
      <w:b/>
      <w:bCs/>
      <w:sz w:val="20"/>
      <w:szCs w:val="20"/>
    </w:rPr>
  </w:style>
  <w:style w:type="paragraph" w:styleId="Textedebulles">
    <w:name w:val="Balloon Text"/>
    <w:basedOn w:val="Normal"/>
    <w:link w:val="TextedebullesCar"/>
    <w:uiPriority w:val="99"/>
    <w:semiHidden/>
    <w:unhideWhenUsed/>
    <w:rsid w:val="004C76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7645"/>
    <w:rPr>
      <w:rFonts w:ascii="Tahoma" w:hAnsi="Tahoma" w:cs="Tahoma"/>
      <w:sz w:val="16"/>
      <w:szCs w:val="16"/>
    </w:rPr>
  </w:style>
  <w:style w:type="table" w:styleId="Grilledutableau">
    <w:name w:val="Table Grid"/>
    <w:basedOn w:val="TableauNormal"/>
    <w:uiPriority w:val="59"/>
    <w:rsid w:val="005A2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348E"/>
    <w:pPr>
      <w:autoSpaceDE w:val="0"/>
      <w:autoSpaceDN w:val="0"/>
      <w:adjustRightInd w:val="0"/>
      <w:spacing w:after="0" w:line="240" w:lineRule="auto"/>
    </w:pPr>
    <w:rPr>
      <w:rFonts w:ascii="Univers LT Std 45 Light" w:hAnsi="Univers LT Std 45 Light" w:cs="Univers LT Std 45 Light"/>
      <w:color w:val="000000"/>
      <w:sz w:val="24"/>
      <w:szCs w:val="24"/>
    </w:rPr>
  </w:style>
  <w:style w:type="paragraph" w:styleId="Notedebasdepage">
    <w:name w:val="footnote text"/>
    <w:basedOn w:val="Normal"/>
    <w:link w:val="NotedebasdepageCar"/>
    <w:uiPriority w:val="99"/>
    <w:semiHidden/>
    <w:unhideWhenUsed/>
    <w:rsid w:val="00467AF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67AF4"/>
    <w:rPr>
      <w:sz w:val="20"/>
      <w:szCs w:val="20"/>
    </w:rPr>
  </w:style>
  <w:style w:type="character" w:styleId="Appelnotedebasdep">
    <w:name w:val="footnote reference"/>
    <w:basedOn w:val="Policepardfaut"/>
    <w:uiPriority w:val="99"/>
    <w:semiHidden/>
    <w:unhideWhenUsed/>
    <w:rsid w:val="00467AF4"/>
    <w:rPr>
      <w:vertAlign w:val="superscript"/>
    </w:rPr>
  </w:style>
  <w:style w:type="character" w:styleId="lev">
    <w:name w:val="Strong"/>
    <w:basedOn w:val="Policepardfaut"/>
    <w:uiPriority w:val="22"/>
    <w:qFormat/>
    <w:rsid w:val="005D52FC"/>
    <w:rPr>
      <w:b/>
      <w:bCs/>
    </w:rPr>
  </w:style>
  <w:style w:type="character" w:styleId="Lienhypertextesuivivisit">
    <w:name w:val="FollowedHyperlink"/>
    <w:basedOn w:val="Policepardfaut"/>
    <w:uiPriority w:val="99"/>
    <w:semiHidden/>
    <w:unhideWhenUsed/>
    <w:rsid w:val="00AD49BC"/>
    <w:rPr>
      <w:color w:val="800080" w:themeColor="followedHyperlink"/>
      <w:u w:val="single"/>
    </w:rPr>
  </w:style>
  <w:style w:type="paragraph" w:styleId="Rvision">
    <w:name w:val="Revision"/>
    <w:hidden/>
    <w:uiPriority w:val="99"/>
    <w:semiHidden/>
    <w:rsid w:val="00AD49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75125">
      <w:bodyDiv w:val="1"/>
      <w:marLeft w:val="0"/>
      <w:marRight w:val="0"/>
      <w:marTop w:val="0"/>
      <w:marBottom w:val="0"/>
      <w:divBdr>
        <w:top w:val="none" w:sz="0" w:space="0" w:color="auto"/>
        <w:left w:val="none" w:sz="0" w:space="0" w:color="auto"/>
        <w:bottom w:val="none" w:sz="0" w:space="0" w:color="auto"/>
        <w:right w:val="none" w:sz="0" w:space="0" w:color="auto"/>
      </w:divBdr>
    </w:div>
    <w:div w:id="957564654">
      <w:bodyDiv w:val="1"/>
      <w:marLeft w:val="0"/>
      <w:marRight w:val="0"/>
      <w:marTop w:val="0"/>
      <w:marBottom w:val="0"/>
      <w:divBdr>
        <w:top w:val="none" w:sz="0" w:space="0" w:color="auto"/>
        <w:left w:val="none" w:sz="0" w:space="0" w:color="auto"/>
        <w:bottom w:val="none" w:sz="0" w:space="0" w:color="auto"/>
        <w:right w:val="none" w:sz="0" w:space="0" w:color="auto"/>
      </w:divBdr>
    </w:div>
    <w:div w:id="1021860380">
      <w:bodyDiv w:val="1"/>
      <w:marLeft w:val="0"/>
      <w:marRight w:val="0"/>
      <w:marTop w:val="0"/>
      <w:marBottom w:val="0"/>
      <w:divBdr>
        <w:top w:val="none" w:sz="0" w:space="0" w:color="auto"/>
        <w:left w:val="none" w:sz="0" w:space="0" w:color="auto"/>
        <w:bottom w:val="none" w:sz="0" w:space="0" w:color="auto"/>
        <w:right w:val="none" w:sz="0" w:space="0" w:color="auto"/>
      </w:divBdr>
    </w:div>
    <w:div w:id="1223516576">
      <w:bodyDiv w:val="1"/>
      <w:marLeft w:val="0"/>
      <w:marRight w:val="0"/>
      <w:marTop w:val="0"/>
      <w:marBottom w:val="0"/>
      <w:divBdr>
        <w:top w:val="none" w:sz="0" w:space="0" w:color="auto"/>
        <w:left w:val="none" w:sz="0" w:space="0" w:color="auto"/>
        <w:bottom w:val="none" w:sz="0" w:space="0" w:color="auto"/>
        <w:right w:val="none" w:sz="0" w:space="0" w:color="auto"/>
      </w:divBdr>
    </w:div>
    <w:div w:id="1618027118">
      <w:bodyDiv w:val="1"/>
      <w:marLeft w:val="0"/>
      <w:marRight w:val="0"/>
      <w:marTop w:val="0"/>
      <w:marBottom w:val="0"/>
      <w:divBdr>
        <w:top w:val="none" w:sz="0" w:space="0" w:color="auto"/>
        <w:left w:val="none" w:sz="0" w:space="0" w:color="auto"/>
        <w:bottom w:val="none" w:sz="0" w:space="0" w:color="auto"/>
        <w:right w:val="none" w:sz="0" w:space="0" w:color="auto"/>
      </w:divBdr>
    </w:div>
    <w:div w:id="1627808877">
      <w:bodyDiv w:val="1"/>
      <w:marLeft w:val="0"/>
      <w:marRight w:val="0"/>
      <w:marTop w:val="0"/>
      <w:marBottom w:val="0"/>
      <w:divBdr>
        <w:top w:val="none" w:sz="0" w:space="0" w:color="auto"/>
        <w:left w:val="none" w:sz="0" w:space="0" w:color="auto"/>
        <w:bottom w:val="none" w:sz="0" w:space="0" w:color="auto"/>
        <w:right w:val="none" w:sz="0" w:space="0" w:color="auto"/>
      </w:divBdr>
    </w:div>
    <w:div w:id="1738551982">
      <w:bodyDiv w:val="1"/>
      <w:marLeft w:val="0"/>
      <w:marRight w:val="0"/>
      <w:marTop w:val="0"/>
      <w:marBottom w:val="0"/>
      <w:divBdr>
        <w:top w:val="none" w:sz="0" w:space="0" w:color="auto"/>
        <w:left w:val="none" w:sz="0" w:space="0" w:color="auto"/>
        <w:bottom w:val="none" w:sz="0" w:space="0" w:color="auto"/>
        <w:right w:val="none" w:sz="0" w:space="0" w:color="auto"/>
      </w:divBdr>
    </w:div>
    <w:div w:id="204571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idarites-sante.gouv.fr/soins-et-maladies/autres-produits-de-sante/dispositifs-medicaux/la-liste-en-sus/article/referentiel-des-indications-des-specialites-pharmaceutiques-inscrites-sur-l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C327C-D763-466B-BCF3-E72F8B4E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11</Pages>
  <Words>3767</Words>
  <Characters>20723</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audrey.tanguy-melac</dc:creator>
  <cp:lastModifiedBy>JURY, Estelle (DSS/SD1/1C)</cp:lastModifiedBy>
  <cp:revision>8</cp:revision>
  <cp:lastPrinted>2024-04-25T13:46:00Z</cp:lastPrinted>
  <dcterms:created xsi:type="dcterms:W3CDTF">2024-04-25T13:55:00Z</dcterms:created>
  <dcterms:modified xsi:type="dcterms:W3CDTF">2024-09-05T16:41:00Z</dcterms:modified>
</cp:coreProperties>
</file>